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08556" w14:textId="77777777" w:rsidR="00DB0F1B" w:rsidRPr="00DB0F1B" w:rsidRDefault="00DB0F1B" w:rsidP="00DB0F1B">
      <w:pPr>
        <w:spacing w:after="0" w:line="240" w:lineRule="auto"/>
        <w:rPr>
          <w:rFonts w:ascii="Times New Roman" w:eastAsia="Times New Roman" w:hAnsi="Times New Roman" w:cs="Times New Roman"/>
          <w:b/>
          <w:bCs/>
          <w:color w:val="222222"/>
          <w:kern w:val="0"/>
          <w14:ligatures w14:val="none"/>
        </w:rPr>
      </w:pPr>
      <w:r w:rsidRPr="00DB0F1B">
        <w:rPr>
          <w:rFonts w:ascii="Times New Roman" w:eastAsia="Times New Roman" w:hAnsi="Times New Roman" w:cs="Times New Roman"/>
          <w:b/>
          <w:bCs/>
          <w:color w:val="222222"/>
          <w:kern w:val="0"/>
          <w14:ligatures w14:val="none"/>
        </w:rPr>
        <w:t>Online Brands, Real</w:t>
      </w:r>
      <w:r w:rsidRPr="00DB0F1B">
        <w:rPr>
          <w:rFonts w:ascii="Times New Roman" w:eastAsia="Times New Roman" w:hAnsi="Times New Roman" w:cs="Times New Roman"/>
          <w:b/>
          <w:bCs/>
          <w:color w:val="222222"/>
          <w:kern w:val="0"/>
          <w14:ligatures w14:val="none"/>
        </w:rPr>
        <w:noBreakHyphen/>
        <w:t>World Legal Risk in Bed Bath ’N’ Table</w:t>
      </w:r>
    </w:p>
    <w:p w14:paraId="22D2E903" w14:textId="77777777" w:rsidR="00DB0F1B" w:rsidRPr="00DB0F1B" w:rsidRDefault="00DB0F1B" w:rsidP="00DB0F1B">
      <w:pPr>
        <w:spacing w:after="0" w:line="240" w:lineRule="auto"/>
        <w:rPr>
          <w:rFonts w:ascii="Times New Roman" w:eastAsia="Times New Roman" w:hAnsi="Times New Roman" w:cs="Times New Roman"/>
          <w:b/>
          <w:bCs/>
          <w:color w:val="222222"/>
          <w:kern w:val="0"/>
          <w14:ligatures w14:val="none"/>
        </w:rPr>
      </w:pPr>
    </w:p>
    <w:p w14:paraId="30BD8959" w14:textId="3C47A006" w:rsidR="00DB0F1B" w:rsidRPr="00DB0F1B" w:rsidRDefault="00DB0F1B" w:rsidP="00DB0F1B">
      <w:pPr>
        <w:spacing w:after="0" w:line="240" w:lineRule="auto"/>
        <w:rPr>
          <w:rFonts w:ascii="Times New Roman" w:eastAsia="Times New Roman" w:hAnsi="Times New Roman" w:cs="Times New Roman"/>
          <w:color w:val="222222"/>
          <w:kern w:val="0"/>
          <w14:ligatures w14:val="none"/>
        </w:rPr>
      </w:pPr>
      <w:r w:rsidRPr="00DB0F1B">
        <w:rPr>
          <w:rFonts w:ascii="Times New Roman" w:eastAsia="Times New Roman" w:hAnsi="Times New Roman" w:cs="Times New Roman"/>
          <w:b/>
          <w:bCs/>
          <w:color w:val="222222"/>
          <w:kern w:val="0"/>
          <w14:ligatures w14:val="none"/>
        </w:rPr>
        <w:t>Bed Bath ’N’ Table v House Bed &amp; Bath</w:t>
      </w:r>
    </w:p>
    <w:p w14:paraId="724AD9BF" w14:textId="77777777" w:rsidR="00DB0F1B" w:rsidRPr="00DB0F1B" w:rsidRDefault="00DB0F1B" w:rsidP="00DB0F1B">
      <w:pPr>
        <w:spacing w:after="0" w:line="240" w:lineRule="auto"/>
        <w:rPr>
          <w:rFonts w:ascii="Times New Roman" w:eastAsia="Times New Roman" w:hAnsi="Times New Roman" w:cs="Times New Roman"/>
          <w:color w:val="222222"/>
          <w:kern w:val="0"/>
          <w14:ligatures w14:val="none"/>
        </w:rPr>
      </w:pPr>
      <w:r w:rsidRPr="00DB0F1B">
        <w:rPr>
          <w:rFonts w:ascii="Times New Roman" w:eastAsia="Times New Roman" w:hAnsi="Times New Roman" w:cs="Times New Roman"/>
          <w:b/>
          <w:bCs/>
          <w:color w:val="222222"/>
          <w:kern w:val="0"/>
          <w14:ligatures w14:val="none"/>
        </w:rPr>
        <w:t> </w:t>
      </w:r>
    </w:p>
    <w:p w14:paraId="7C6B6012" w14:textId="7C616CA4" w:rsidR="00DB0F1B" w:rsidRPr="00DB0F1B" w:rsidRDefault="00DB0F1B" w:rsidP="00DB0F1B">
      <w:pPr>
        <w:spacing w:after="0" w:line="240" w:lineRule="auto"/>
        <w:rPr>
          <w:rFonts w:ascii="Times New Roman" w:eastAsia="Times New Roman" w:hAnsi="Times New Roman" w:cs="Times New Roman"/>
          <w:color w:val="222222"/>
          <w:kern w:val="0"/>
          <w14:ligatures w14:val="none"/>
        </w:rPr>
      </w:pPr>
      <w:r w:rsidRPr="00DB0F1B">
        <w:rPr>
          <w:rFonts w:ascii="Times New Roman" w:eastAsia="Times New Roman" w:hAnsi="Times New Roman" w:cs="Times New Roman"/>
          <w:color w:val="222222"/>
          <w:kern w:val="0"/>
          <w14:ligatures w14:val="none"/>
        </w:rPr>
        <w:t>Bed Bath ’N’ Table is a long</w:t>
      </w:r>
      <w:r w:rsidRPr="00DB0F1B">
        <w:rPr>
          <w:rFonts w:ascii="Times New Roman" w:eastAsia="Times New Roman" w:hAnsi="Times New Roman" w:cs="Times New Roman"/>
          <w:color w:val="222222"/>
          <w:kern w:val="0"/>
          <w14:ligatures w14:val="none"/>
        </w:rPr>
        <w:noBreakHyphen/>
        <w:t>established Australian homewares retailer with a national store network and a well</w:t>
      </w:r>
      <w:r w:rsidRPr="00DB0F1B">
        <w:rPr>
          <w:rFonts w:ascii="Times New Roman" w:eastAsia="Times New Roman" w:hAnsi="Times New Roman" w:cs="Times New Roman"/>
          <w:color w:val="222222"/>
          <w:kern w:val="0"/>
          <w14:ligatures w14:val="none"/>
        </w:rPr>
        <w:noBreakHyphen/>
        <w:t>developed online store, selling bedding, towels and related soft homewares under the “Bed Bath ’N’ Table” name. Global Retail Brands runs the “House” kitchen and homewares chain and later launched a soft</w:t>
      </w:r>
      <w:r w:rsidRPr="00DB0F1B">
        <w:rPr>
          <w:rFonts w:ascii="Times New Roman" w:eastAsia="Times New Roman" w:hAnsi="Times New Roman" w:cs="Times New Roman"/>
          <w:color w:val="222222"/>
          <w:kern w:val="0"/>
          <w14:ligatures w14:val="none"/>
        </w:rPr>
        <w:noBreakHyphen/>
        <w:t>homewares concept called “House Bed &amp; Bath”, used on store signage and online, placing it alongside Bed Bath ’N’ Table in both shopping centres and the online retail space and setting the stage for the confusion dispute.</w:t>
      </w:r>
    </w:p>
    <w:p w14:paraId="605997E8" w14:textId="4361078C" w:rsidR="00355E38" w:rsidRPr="00355E38" w:rsidRDefault="00355E38" w:rsidP="00355E38">
      <w:pPr>
        <w:spacing w:before="100" w:beforeAutospacing="1" w:after="100" w:afterAutospacing="1" w:line="240" w:lineRule="auto"/>
        <w:outlineLvl w:val="2"/>
        <w:rPr>
          <w:rFonts w:ascii="Times New Roman" w:eastAsia="Times New Roman" w:hAnsi="Times New Roman" w:cs="Times New Roman"/>
          <w:b/>
          <w:bCs/>
          <w:color w:val="000000"/>
          <w:kern w:val="0"/>
          <w14:ligatures w14:val="none"/>
        </w:rPr>
      </w:pPr>
      <w:r w:rsidRPr="00355E38">
        <w:rPr>
          <w:rFonts w:ascii="Times New Roman" w:eastAsia="Times New Roman" w:hAnsi="Times New Roman" w:cs="Times New Roman"/>
          <w:b/>
          <w:bCs/>
          <w:color w:val="000000"/>
          <w:kern w:val="0"/>
          <w14:ligatures w14:val="none"/>
        </w:rPr>
        <w:t>Introduction</w:t>
      </w:r>
    </w:p>
    <w:p w14:paraId="6825899A" w14:textId="30D80AF9" w:rsidR="00355E38" w:rsidRPr="00355E38" w:rsidRDefault="00355E38" w:rsidP="00355E38">
      <w:pPr>
        <w:spacing w:before="100" w:beforeAutospacing="1" w:after="100" w:afterAutospacing="1" w:line="240" w:lineRule="auto"/>
        <w:rPr>
          <w:rFonts w:ascii="Times New Roman" w:eastAsia="Times New Roman" w:hAnsi="Times New Roman" w:cs="Times New Roman"/>
          <w:color w:val="000000"/>
          <w:kern w:val="0"/>
          <w14:ligatures w14:val="none"/>
        </w:rPr>
      </w:pPr>
      <w:r w:rsidRPr="00355E38">
        <w:rPr>
          <w:rFonts w:ascii="Times New Roman" w:eastAsia="Times New Roman" w:hAnsi="Times New Roman" w:cs="Times New Roman"/>
          <w:color w:val="000000"/>
          <w:kern w:val="0"/>
          <w14:ligatures w14:val="none"/>
        </w:rPr>
        <w:t>The High Court’s decision in </w:t>
      </w:r>
      <w:r w:rsidRPr="00355E38">
        <w:rPr>
          <w:rFonts w:ascii="Times New Roman" w:eastAsia="Times New Roman" w:hAnsi="Times New Roman" w:cs="Times New Roman"/>
          <w:i/>
          <w:iCs/>
          <w:color w:val="000000"/>
          <w:kern w:val="0"/>
          <w14:ligatures w14:val="none"/>
        </w:rPr>
        <w:t>Bed Bath ’N’ Table Pty Ltd v Global Retail Brands Australia Pty Ltd</w:t>
      </w:r>
      <w:r w:rsidRPr="00355E38">
        <w:rPr>
          <w:rFonts w:ascii="Times New Roman" w:eastAsia="Times New Roman" w:hAnsi="Times New Roman" w:cs="Times New Roman"/>
          <w:color w:val="000000"/>
          <w:kern w:val="0"/>
          <w14:ligatures w14:val="none"/>
        </w:rPr>
        <w:t> marks an important moment in Australian brand protection law, not because it radically reshapes trade mark doctrine, but because of what it confirms about misleading or deceptive conduct in a modern, multi-channel retail environment.</w:t>
      </w:r>
    </w:p>
    <w:p w14:paraId="031CCF7C" w14:textId="6E5A8BE0" w:rsidR="00355E38" w:rsidRPr="00355E38" w:rsidRDefault="00355E38" w:rsidP="00355E38">
      <w:pPr>
        <w:spacing w:before="100" w:beforeAutospacing="1" w:after="100" w:afterAutospacing="1" w:line="240" w:lineRule="auto"/>
        <w:rPr>
          <w:rFonts w:ascii="Times New Roman" w:eastAsia="Times New Roman" w:hAnsi="Times New Roman" w:cs="Times New Roman"/>
          <w:color w:val="000000"/>
          <w:kern w:val="0"/>
          <w14:ligatures w14:val="none"/>
        </w:rPr>
      </w:pPr>
      <w:r w:rsidRPr="00355E38">
        <w:rPr>
          <w:rFonts w:ascii="Times New Roman" w:eastAsia="Times New Roman" w:hAnsi="Times New Roman" w:cs="Times New Roman"/>
          <w:color w:val="000000"/>
          <w:kern w:val="0"/>
          <w14:ligatures w14:val="none"/>
        </w:rPr>
        <w:t xml:space="preserve">While the trade mark claims ultimately failed, the case is significant for the way the Court approached brand use holistically </w:t>
      </w:r>
      <w:r w:rsidRPr="00B22B2D">
        <w:rPr>
          <w:rFonts w:ascii="Times New Roman" w:eastAsia="Times New Roman" w:hAnsi="Times New Roman" w:cs="Times New Roman"/>
          <w:color w:val="000000"/>
          <w:kern w:val="0"/>
          <w14:ligatures w14:val="none"/>
        </w:rPr>
        <w:t xml:space="preserve">- </w:t>
      </w:r>
      <w:r w:rsidRPr="00355E38">
        <w:rPr>
          <w:rFonts w:ascii="Times New Roman" w:eastAsia="Times New Roman" w:hAnsi="Times New Roman" w:cs="Times New Roman"/>
          <w:color w:val="000000"/>
          <w:kern w:val="0"/>
          <w14:ligatures w14:val="none"/>
        </w:rPr>
        <w:t xml:space="preserve">across physical stores, websites and marketing </w:t>
      </w:r>
      <w:r w:rsidRPr="00B22B2D">
        <w:rPr>
          <w:rFonts w:ascii="Times New Roman" w:eastAsia="Times New Roman" w:hAnsi="Times New Roman" w:cs="Times New Roman"/>
          <w:color w:val="000000"/>
          <w:kern w:val="0"/>
          <w14:ligatures w14:val="none"/>
        </w:rPr>
        <w:t xml:space="preserve">- </w:t>
      </w:r>
      <w:r w:rsidRPr="00355E38">
        <w:rPr>
          <w:rFonts w:ascii="Times New Roman" w:eastAsia="Times New Roman" w:hAnsi="Times New Roman" w:cs="Times New Roman"/>
          <w:color w:val="000000"/>
          <w:kern w:val="0"/>
          <w14:ligatures w14:val="none"/>
        </w:rPr>
        <w:t>and for its clear signal that Australian Consumer Law (ACL) liability may arise even where the Trade Marks Act offers no remedy.</w:t>
      </w:r>
    </w:p>
    <w:p w14:paraId="0350892A" w14:textId="77777777" w:rsidR="00355E38" w:rsidRPr="00355E38" w:rsidRDefault="00355E38" w:rsidP="00355E38">
      <w:pPr>
        <w:spacing w:before="100" w:beforeAutospacing="1" w:after="100" w:afterAutospacing="1" w:line="240" w:lineRule="auto"/>
        <w:rPr>
          <w:rFonts w:ascii="Times New Roman" w:eastAsia="Times New Roman" w:hAnsi="Times New Roman" w:cs="Times New Roman"/>
          <w:color w:val="000000"/>
          <w:kern w:val="0"/>
          <w14:ligatures w14:val="none"/>
        </w:rPr>
      </w:pPr>
      <w:r w:rsidRPr="00355E38">
        <w:rPr>
          <w:rFonts w:ascii="Times New Roman" w:eastAsia="Times New Roman" w:hAnsi="Times New Roman" w:cs="Times New Roman"/>
          <w:color w:val="000000"/>
          <w:kern w:val="0"/>
          <w14:ligatures w14:val="none"/>
        </w:rPr>
        <w:t>In an era where consumer interaction with brands is increasingly digital-first, </w:t>
      </w:r>
      <w:r w:rsidRPr="00355E38">
        <w:rPr>
          <w:rFonts w:ascii="Times New Roman" w:eastAsia="Times New Roman" w:hAnsi="Times New Roman" w:cs="Times New Roman"/>
          <w:i/>
          <w:iCs/>
          <w:color w:val="000000"/>
          <w:kern w:val="0"/>
          <w14:ligatures w14:val="none"/>
        </w:rPr>
        <w:t>Bed Bath ’N’ Table</w:t>
      </w:r>
      <w:r w:rsidRPr="00355E38">
        <w:rPr>
          <w:rFonts w:ascii="Times New Roman" w:eastAsia="Times New Roman" w:hAnsi="Times New Roman" w:cs="Times New Roman"/>
          <w:color w:val="000000"/>
          <w:kern w:val="0"/>
          <w14:ligatures w14:val="none"/>
        </w:rPr>
        <w:t> reinforces that courts will assess “get-up” and consumer impression across all relevant touchpoints, online and offline. The decision has particular resonance for retailers operating integrated physical and online storefronts, and for advisers structuring parallel trade mark and ACL claims in disputes involving descriptive branding and crowded markets.</w:t>
      </w:r>
    </w:p>
    <w:p w14:paraId="43AABDD1" w14:textId="77777777" w:rsidR="00355E38" w:rsidRPr="00355E38" w:rsidRDefault="00355E38" w:rsidP="00355E38">
      <w:pPr>
        <w:spacing w:before="100" w:beforeAutospacing="1" w:after="100" w:afterAutospacing="1" w:line="240" w:lineRule="auto"/>
        <w:rPr>
          <w:rFonts w:ascii="Times New Roman" w:eastAsia="Times New Roman" w:hAnsi="Times New Roman" w:cs="Times New Roman"/>
          <w:color w:val="000000"/>
          <w:kern w:val="0"/>
          <w14:ligatures w14:val="none"/>
        </w:rPr>
      </w:pPr>
      <w:r w:rsidRPr="00355E38">
        <w:rPr>
          <w:rFonts w:ascii="Times New Roman" w:eastAsia="Times New Roman" w:hAnsi="Times New Roman" w:cs="Times New Roman"/>
          <w:color w:val="000000"/>
          <w:kern w:val="0"/>
          <w14:ligatures w14:val="none"/>
        </w:rPr>
        <w:t>This article explores the internet-facing implications of the decision, focusing on three interrelated themes:</w:t>
      </w:r>
    </w:p>
    <w:p w14:paraId="0840D630" w14:textId="77777777" w:rsidR="00355E38" w:rsidRPr="00355E38" w:rsidRDefault="00355E38" w:rsidP="00355E38">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355E38">
        <w:rPr>
          <w:rFonts w:ascii="Times New Roman" w:eastAsia="Times New Roman" w:hAnsi="Times New Roman" w:cs="Times New Roman"/>
          <w:color w:val="000000"/>
          <w:kern w:val="0"/>
          <w14:ligatures w14:val="none"/>
        </w:rPr>
        <w:t>how brand use across digital and physical channels can constitute misleading or deceptive conduct even where trade mark infringement is not made out;</w:t>
      </w:r>
    </w:p>
    <w:p w14:paraId="3A65A46A" w14:textId="77777777" w:rsidR="00355E38" w:rsidRPr="00355E38" w:rsidRDefault="00355E38" w:rsidP="00355E38">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355E38">
        <w:rPr>
          <w:rFonts w:ascii="Times New Roman" w:eastAsia="Times New Roman" w:hAnsi="Times New Roman" w:cs="Times New Roman"/>
          <w:color w:val="000000"/>
          <w:kern w:val="0"/>
          <w14:ligatures w14:val="none"/>
        </w:rPr>
        <w:t>the importance of overall consumer impression and get-up across online and offline environments when assessing confusion; and</w:t>
      </w:r>
    </w:p>
    <w:p w14:paraId="74FE7E69" w14:textId="71F9A058" w:rsidR="00355E38" w:rsidRPr="00355E38" w:rsidRDefault="00355E38" w:rsidP="00355E38">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355E38">
        <w:rPr>
          <w:rFonts w:ascii="Times New Roman" w:eastAsia="Times New Roman" w:hAnsi="Times New Roman" w:cs="Times New Roman"/>
          <w:color w:val="000000"/>
          <w:kern w:val="0"/>
          <w14:ligatures w14:val="none"/>
        </w:rPr>
        <w:t>the role of reputation and “wilful blindness” in tipping the balance on ACL liability, even where descriptive elements are involved.</w:t>
      </w:r>
    </w:p>
    <w:p w14:paraId="3B0D22E0" w14:textId="77777777" w:rsidR="00A13671" w:rsidRPr="00B22B2D" w:rsidRDefault="00A13671" w:rsidP="00A13671">
      <w:pPr>
        <w:spacing w:before="100" w:beforeAutospacing="1" w:after="100" w:afterAutospacing="1" w:line="240" w:lineRule="auto"/>
        <w:outlineLvl w:val="2"/>
        <w:rPr>
          <w:rFonts w:ascii="Times New Roman" w:eastAsia="Times New Roman" w:hAnsi="Times New Roman" w:cs="Times New Roman"/>
          <w:b/>
          <w:bCs/>
          <w:color w:val="000000"/>
          <w:kern w:val="0"/>
          <w14:ligatures w14:val="none"/>
        </w:rPr>
      </w:pPr>
      <w:r w:rsidRPr="00B22B2D">
        <w:rPr>
          <w:rFonts w:ascii="Times New Roman" w:eastAsia="Times New Roman" w:hAnsi="Times New Roman" w:cs="Times New Roman"/>
          <w:b/>
          <w:bCs/>
          <w:color w:val="000000"/>
          <w:kern w:val="0"/>
          <w14:ligatures w14:val="none"/>
        </w:rPr>
        <w:t>Misleading or deceptive conduct beyond trade mark infringement</w:t>
      </w:r>
    </w:p>
    <w:p w14:paraId="1E130F42" w14:textId="2C6B3D9B" w:rsidR="00A13671" w:rsidRPr="00B22B2D" w:rsidRDefault="00A13671" w:rsidP="00A13671">
      <w:pPr>
        <w:pStyle w:val="NormalWeb"/>
        <w:rPr>
          <w:color w:val="000000"/>
        </w:rPr>
      </w:pPr>
      <w:r w:rsidRPr="00B22B2D">
        <w:rPr>
          <w:color w:val="000000"/>
        </w:rPr>
        <w:t>One of the most important implications of</w:t>
      </w:r>
      <w:r w:rsidRPr="00B22B2D">
        <w:rPr>
          <w:rStyle w:val="apple-converted-space"/>
          <w:rFonts w:eastAsiaTheme="majorEastAsia"/>
          <w:color w:val="000000"/>
        </w:rPr>
        <w:t> </w:t>
      </w:r>
      <w:r w:rsidRPr="00B22B2D">
        <w:rPr>
          <w:rStyle w:val="Emphasis"/>
          <w:rFonts w:eastAsiaTheme="majorEastAsia"/>
          <w:color w:val="000000"/>
        </w:rPr>
        <w:t>Bed Bath ’N’ Table v Global Retail Brands</w:t>
      </w:r>
      <w:r w:rsidRPr="00B22B2D">
        <w:rPr>
          <w:rStyle w:val="apple-converted-space"/>
          <w:rFonts w:eastAsiaTheme="majorEastAsia"/>
          <w:color w:val="000000"/>
        </w:rPr>
        <w:t> </w:t>
      </w:r>
      <w:r w:rsidRPr="00B22B2D">
        <w:rPr>
          <w:color w:val="000000"/>
        </w:rPr>
        <w:t xml:space="preserve">is the confirmation that ACL liability operates independently of </w:t>
      </w:r>
      <w:r w:rsidR="00B22B2D" w:rsidRPr="00B22B2D">
        <w:rPr>
          <w:color w:val="000000"/>
        </w:rPr>
        <w:t xml:space="preserve">- </w:t>
      </w:r>
      <w:r w:rsidRPr="00B22B2D">
        <w:rPr>
          <w:color w:val="000000"/>
        </w:rPr>
        <w:t xml:space="preserve">and often more expansively than </w:t>
      </w:r>
      <w:r w:rsidR="00B22B2D" w:rsidRPr="00B22B2D">
        <w:rPr>
          <w:color w:val="000000"/>
        </w:rPr>
        <w:t>-</w:t>
      </w:r>
      <w:r w:rsidRPr="00B22B2D">
        <w:rPr>
          <w:color w:val="000000"/>
        </w:rPr>
        <w:t xml:space="preserve"> </w:t>
      </w:r>
      <w:r w:rsidRPr="00B22B2D">
        <w:rPr>
          <w:color w:val="000000"/>
        </w:rPr>
        <w:lastRenderedPageBreak/>
        <w:t>trade mark infringement, particularly in digital environments. While this distinction is well established in principle, its practical significance has increased as branding conduct has become more diffuse and multi-layered online.</w:t>
      </w:r>
    </w:p>
    <w:p w14:paraId="5C3D1970" w14:textId="77777777" w:rsidR="00A13671" w:rsidRPr="00B22B2D" w:rsidRDefault="00A13671" w:rsidP="00A13671">
      <w:pPr>
        <w:pStyle w:val="NormalWeb"/>
        <w:rPr>
          <w:color w:val="000000"/>
        </w:rPr>
      </w:pPr>
      <w:r w:rsidRPr="00B22B2D">
        <w:rPr>
          <w:color w:val="000000"/>
        </w:rPr>
        <w:t>Trade mark infringement analysis is necessarily constrained: it focuses on the use of a sign as a badge of origin and requires relatively close attention to statutory elements such as distinctiveness, similarity and use “as a trade mark”. In contrast, s 18 of the ACL is directed at the real-world effect of conduct on consumer perception. That effect may be generated by conduct that does not neatly fall within trade mark doctrine, including the cumulative presentation of a business online.</w:t>
      </w:r>
    </w:p>
    <w:p w14:paraId="2F05D2F4" w14:textId="60A3F503" w:rsidR="00A13671" w:rsidRPr="00B22B2D" w:rsidRDefault="00A13671" w:rsidP="00A13671">
      <w:pPr>
        <w:pStyle w:val="NormalWeb"/>
        <w:rPr>
          <w:color w:val="000000"/>
        </w:rPr>
      </w:pPr>
      <w:r w:rsidRPr="00B22B2D">
        <w:rPr>
          <w:color w:val="000000"/>
        </w:rPr>
        <w:t xml:space="preserve">In digital commerce, consumers are often exposed to branding in fragmentary and indirect ways </w:t>
      </w:r>
      <w:r w:rsidR="00B22B2D" w:rsidRPr="00B22B2D">
        <w:rPr>
          <w:color w:val="000000"/>
        </w:rPr>
        <w:t>-</w:t>
      </w:r>
      <w:r w:rsidRPr="00B22B2D">
        <w:rPr>
          <w:color w:val="000000"/>
        </w:rPr>
        <w:t xml:space="preserve"> through search engine results, social media previews, browser tabs, email subject lines or sponsored links. These forms of exposure may not involve “use as a trade mark” in a technical sense, but they can nonetheless shape consumer assumptions about association or endorsement.</w:t>
      </w:r>
      <w:r w:rsidRPr="00B22B2D">
        <w:rPr>
          <w:rStyle w:val="apple-converted-space"/>
          <w:rFonts w:eastAsiaTheme="majorEastAsia"/>
          <w:color w:val="000000"/>
        </w:rPr>
        <w:t> </w:t>
      </w:r>
      <w:r w:rsidRPr="00B22B2D">
        <w:rPr>
          <w:rStyle w:val="Emphasis"/>
          <w:rFonts w:eastAsiaTheme="majorEastAsia"/>
          <w:color w:val="000000"/>
        </w:rPr>
        <w:t>Bed Bath ’N’ Table</w:t>
      </w:r>
      <w:r w:rsidRPr="00B22B2D">
        <w:rPr>
          <w:rStyle w:val="apple-converted-space"/>
          <w:rFonts w:eastAsiaTheme="majorEastAsia"/>
          <w:color w:val="000000"/>
        </w:rPr>
        <w:t> </w:t>
      </w:r>
      <w:r w:rsidRPr="00B22B2D">
        <w:rPr>
          <w:color w:val="000000"/>
        </w:rPr>
        <w:t>demonstrates that the ACL is capable of capturing this broader field of conduct.</w:t>
      </w:r>
    </w:p>
    <w:p w14:paraId="0D7A9863" w14:textId="77777777" w:rsidR="00A13671" w:rsidRPr="00B22B2D" w:rsidRDefault="00A13671" w:rsidP="00A13671">
      <w:pPr>
        <w:pStyle w:val="NormalWeb"/>
        <w:rPr>
          <w:color w:val="000000"/>
        </w:rPr>
      </w:pPr>
      <w:r w:rsidRPr="00B22B2D">
        <w:rPr>
          <w:color w:val="000000"/>
        </w:rPr>
        <w:t>Importantly, the decision highlights that descriptiveness, while relevant to trade mark scope, does not insulate conduct from ACL scrutiny. Where descriptive branding is used in a way that evokes an established competitor’s identity across digital channels, the risk of misleading conduct remains. This is especially so where branding choices are reinforced through repetition and consistency across online and offline platforms.</w:t>
      </w:r>
    </w:p>
    <w:p w14:paraId="110BF92C" w14:textId="5DFCBEFE" w:rsidR="00A13671" w:rsidRPr="00B22B2D" w:rsidRDefault="00A13671" w:rsidP="00A13671">
      <w:pPr>
        <w:pStyle w:val="NormalWeb"/>
        <w:rPr>
          <w:color w:val="000000"/>
        </w:rPr>
      </w:pPr>
      <w:r w:rsidRPr="00B22B2D">
        <w:rPr>
          <w:color w:val="000000"/>
        </w:rPr>
        <w:t>For businesses, the lesson is that brand risk cannot be assessed solely through the lens of registrability or infringement. Digital brand use must also be evaluated holistically, with close attention to how consumers are likely to encounter and interpret that use in practice.</w:t>
      </w:r>
    </w:p>
    <w:p w14:paraId="01FFB6FB" w14:textId="1362D046" w:rsidR="00A13671" w:rsidRPr="00B22B2D" w:rsidRDefault="00A13671" w:rsidP="00A13671">
      <w:pPr>
        <w:spacing w:before="100" w:beforeAutospacing="1" w:after="100" w:afterAutospacing="1" w:line="240" w:lineRule="auto"/>
        <w:rPr>
          <w:rFonts w:ascii="Times New Roman" w:eastAsia="Times New Roman" w:hAnsi="Times New Roman" w:cs="Times New Roman"/>
          <w:color w:val="000000"/>
          <w:kern w:val="0"/>
          <w14:ligatures w14:val="none"/>
        </w:rPr>
      </w:pPr>
      <w:r w:rsidRPr="00B22B2D">
        <w:rPr>
          <w:rFonts w:ascii="Times New Roman" w:eastAsia="Times New Roman" w:hAnsi="Times New Roman" w:cs="Times New Roman"/>
          <w:color w:val="000000"/>
          <w:kern w:val="0"/>
          <w14:ligatures w14:val="none"/>
        </w:rPr>
        <w:t>A central lesson of </w:t>
      </w:r>
      <w:r w:rsidRPr="00B22B2D">
        <w:rPr>
          <w:rFonts w:ascii="Times New Roman" w:eastAsia="Times New Roman" w:hAnsi="Times New Roman" w:cs="Times New Roman"/>
          <w:i/>
          <w:iCs/>
          <w:color w:val="000000"/>
          <w:kern w:val="0"/>
          <w14:ligatures w14:val="none"/>
        </w:rPr>
        <w:t>Bed Bath ’N’ Table</w:t>
      </w:r>
      <w:r w:rsidRPr="00B22B2D">
        <w:rPr>
          <w:rFonts w:ascii="Times New Roman" w:eastAsia="Times New Roman" w:hAnsi="Times New Roman" w:cs="Times New Roman"/>
          <w:color w:val="000000"/>
          <w:kern w:val="0"/>
          <w14:ligatures w14:val="none"/>
        </w:rPr>
        <w:t> is that the absence of trade mark infringement does not meaningfully constrain the operation of the ACL. This has long been doctrinally true, but the decision underscores its practical importance in digital commerce.</w:t>
      </w:r>
    </w:p>
    <w:p w14:paraId="4A1B7939" w14:textId="77777777" w:rsidR="00A13671" w:rsidRPr="00B22B2D" w:rsidRDefault="00A13671" w:rsidP="00A13671">
      <w:pPr>
        <w:spacing w:before="100" w:beforeAutospacing="1" w:after="100" w:afterAutospacing="1" w:line="240" w:lineRule="auto"/>
        <w:rPr>
          <w:rFonts w:ascii="Times New Roman" w:eastAsia="Times New Roman" w:hAnsi="Times New Roman" w:cs="Times New Roman"/>
          <w:color w:val="000000"/>
          <w:kern w:val="0"/>
          <w14:ligatures w14:val="none"/>
        </w:rPr>
      </w:pPr>
      <w:r w:rsidRPr="00B22B2D">
        <w:rPr>
          <w:rFonts w:ascii="Times New Roman" w:eastAsia="Times New Roman" w:hAnsi="Times New Roman" w:cs="Times New Roman"/>
          <w:color w:val="000000"/>
          <w:kern w:val="0"/>
          <w14:ligatures w14:val="none"/>
        </w:rPr>
        <w:t>Trade mark infringement requires the use of a sign “as a trade mark” and involves careful statutory analysis of the mark, the goods or services and any available defences. By contrast, s 18 of the ACL is concerned with conduct in trade or commerce that is likely to mislead or deceive, assessed by reference to the overall effect of that conduct on consumers.</w:t>
      </w:r>
    </w:p>
    <w:p w14:paraId="1B0668D6" w14:textId="77777777" w:rsidR="00A13671" w:rsidRPr="00B22B2D" w:rsidRDefault="00A13671" w:rsidP="00A13671">
      <w:pPr>
        <w:spacing w:before="100" w:beforeAutospacing="1" w:after="100" w:afterAutospacing="1" w:line="240" w:lineRule="auto"/>
        <w:rPr>
          <w:rFonts w:ascii="Times New Roman" w:eastAsia="Times New Roman" w:hAnsi="Times New Roman" w:cs="Times New Roman"/>
          <w:color w:val="000000"/>
          <w:kern w:val="0"/>
          <w14:ligatures w14:val="none"/>
        </w:rPr>
      </w:pPr>
      <w:r w:rsidRPr="00B22B2D">
        <w:rPr>
          <w:rFonts w:ascii="Times New Roman" w:eastAsia="Times New Roman" w:hAnsi="Times New Roman" w:cs="Times New Roman"/>
          <w:color w:val="000000"/>
          <w:kern w:val="0"/>
          <w14:ligatures w14:val="none"/>
        </w:rPr>
        <w:t>In a digital retail environment, this distinction matters. Consumers do not typically encounter brands through isolated, legally neat uses of marks. Instead, they experience branding through a constellation of cues: website presentation, domain names, advertising copy, category labels, social media posts and the way a business appears in search results.</w:t>
      </w:r>
    </w:p>
    <w:p w14:paraId="5FF09E26" w14:textId="77777777" w:rsidR="00A13671" w:rsidRPr="00B22B2D" w:rsidRDefault="00A13671" w:rsidP="00A13671">
      <w:pPr>
        <w:spacing w:before="100" w:beforeAutospacing="1" w:after="100" w:afterAutospacing="1" w:line="240" w:lineRule="auto"/>
        <w:rPr>
          <w:rFonts w:ascii="Times New Roman" w:eastAsia="Times New Roman" w:hAnsi="Times New Roman" w:cs="Times New Roman"/>
          <w:color w:val="000000"/>
          <w:kern w:val="0"/>
          <w14:ligatures w14:val="none"/>
        </w:rPr>
      </w:pPr>
      <w:r w:rsidRPr="00B22B2D">
        <w:rPr>
          <w:rFonts w:ascii="Times New Roman" w:eastAsia="Times New Roman" w:hAnsi="Times New Roman" w:cs="Times New Roman"/>
          <w:color w:val="000000"/>
          <w:kern w:val="0"/>
          <w14:ligatures w14:val="none"/>
        </w:rPr>
        <w:lastRenderedPageBreak/>
        <w:t>In </w:t>
      </w:r>
      <w:r w:rsidRPr="00B22B2D">
        <w:rPr>
          <w:rFonts w:ascii="Times New Roman" w:eastAsia="Times New Roman" w:hAnsi="Times New Roman" w:cs="Times New Roman"/>
          <w:i/>
          <w:iCs/>
          <w:color w:val="000000"/>
          <w:kern w:val="0"/>
          <w14:ligatures w14:val="none"/>
        </w:rPr>
        <w:t>Bed Bath ’N’ Table</w:t>
      </w:r>
      <w:r w:rsidRPr="00B22B2D">
        <w:rPr>
          <w:rFonts w:ascii="Times New Roman" w:eastAsia="Times New Roman" w:hAnsi="Times New Roman" w:cs="Times New Roman"/>
          <w:color w:val="000000"/>
          <w:kern w:val="0"/>
          <w14:ligatures w14:val="none"/>
        </w:rPr>
        <w:t>, the High Court accepted that while the descriptive nature of the words “bed” and “bath” limited the scope of trade mark protection, the broader branding strategy adopted by Global Retail Brands could nonetheless mislead consumers as to an association with Bed Bath ’N’ Table. That conclusion rested on the cumulative effect of branding choices, not on any single infringing use.</w:t>
      </w:r>
    </w:p>
    <w:p w14:paraId="5EA16107" w14:textId="3FF9927D" w:rsidR="00A13671" w:rsidRPr="00B22B2D" w:rsidRDefault="00A13671" w:rsidP="00A13671">
      <w:pPr>
        <w:spacing w:before="100" w:beforeAutospacing="1" w:after="100" w:afterAutospacing="1" w:line="240" w:lineRule="auto"/>
        <w:rPr>
          <w:rFonts w:ascii="Times New Roman" w:eastAsia="Times New Roman" w:hAnsi="Times New Roman" w:cs="Times New Roman"/>
          <w:color w:val="000000"/>
          <w:kern w:val="0"/>
          <w14:ligatures w14:val="none"/>
        </w:rPr>
      </w:pPr>
      <w:r w:rsidRPr="00B22B2D">
        <w:rPr>
          <w:rFonts w:ascii="Times New Roman" w:eastAsia="Times New Roman" w:hAnsi="Times New Roman" w:cs="Times New Roman"/>
          <w:color w:val="000000"/>
          <w:kern w:val="0"/>
          <w14:ligatures w14:val="none"/>
        </w:rPr>
        <w:t>For online businesses, this is particularly significant. A brand name that survives trade mark scrutiny may still expose the business to ACL liability if its deployment - across websites and digital marketing - conveys a misleading impression. This reinforces that trade mark clearance is a necessary but insufficient step in managing brand risk</w:t>
      </w:r>
    </w:p>
    <w:p w14:paraId="62447E39" w14:textId="09238E09" w:rsidR="00355E38" w:rsidRPr="00355E38" w:rsidRDefault="00355E38" w:rsidP="00355E38">
      <w:pPr>
        <w:spacing w:before="100" w:beforeAutospacing="1" w:after="100" w:afterAutospacing="1" w:line="240" w:lineRule="auto"/>
        <w:outlineLvl w:val="2"/>
        <w:rPr>
          <w:rFonts w:ascii="Times New Roman" w:eastAsia="Times New Roman" w:hAnsi="Times New Roman" w:cs="Times New Roman"/>
          <w:b/>
          <w:bCs/>
          <w:color w:val="000000"/>
          <w:kern w:val="0"/>
          <w14:ligatures w14:val="none"/>
        </w:rPr>
      </w:pPr>
      <w:r w:rsidRPr="00355E38">
        <w:rPr>
          <w:rFonts w:ascii="Times New Roman" w:eastAsia="Times New Roman" w:hAnsi="Times New Roman" w:cs="Times New Roman"/>
          <w:b/>
          <w:bCs/>
          <w:color w:val="000000"/>
          <w:kern w:val="0"/>
          <w14:ligatures w14:val="none"/>
        </w:rPr>
        <w:t>The decision in context</w:t>
      </w:r>
    </w:p>
    <w:p w14:paraId="78AB491D" w14:textId="77777777" w:rsidR="00355E38" w:rsidRPr="00355E38" w:rsidRDefault="00355E38" w:rsidP="00355E38">
      <w:pPr>
        <w:spacing w:before="100" w:beforeAutospacing="1" w:after="100" w:afterAutospacing="1" w:line="240" w:lineRule="auto"/>
        <w:rPr>
          <w:rFonts w:ascii="Times New Roman" w:eastAsia="Times New Roman" w:hAnsi="Times New Roman" w:cs="Times New Roman"/>
          <w:color w:val="000000"/>
          <w:kern w:val="0"/>
          <w14:ligatures w14:val="none"/>
        </w:rPr>
      </w:pPr>
      <w:r w:rsidRPr="00355E38">
        <w:rPr>
          <w:rFonts w:ascii="Times New Roman" w:eastAsia="Times New Roman" w:hAnsi="Times New Roman" w:cs="Times New Roman"/>
          <w:color w:val="000000"/>
          <w:kern w:val="0"/>
          <w14:ligatures w14:val="none"/>
        </w:rPr>
        <w:t>At its core, </w:t>
      </w:r>
      <w:r w:rsidRPr="00355E38">
        <w:rPr>
          <w:rFonts w:ascii="Times New Roman" w:eastAsia="Times New Roman" w:hAnsi="Times New Roman" w:cs="Times New Roman"/>
          <w:i/>
          <w:iCs/>
          <w:color w:val="000000"/>
          <w:kern w:val="0"/>
          <w14:ligatures w14:val="none"/>
        </w:rPr>
        <w:t>Bed Bath ’N’ Table</w:t>
      </w:r>
      <w:r w:rsidRPr="00355E38">
        <w:rPr>
          <w:rFonts w:ascii="Times New Roman" w:eastAsia="Times New Roman" w:hAnsi="Times New Roman" w:cs="Times New Roman"/>
          <w:color w:val="000000"/>
          <w:kern w:val="0"/>
          <w14:ligatures w14:val="none"/>
        </w:rPr>
        <w:t> concerned the adoption and use by Global Retail Brands (GRB) of the brand </w:t>
      </w:r>
      <w:r w:rsidRPr="00355E38">
        <w:rPr>
          <w:rFonts w:ascii="Times New Roman" w:eastAsia="Times New Roman" w:hAnsi="Times New Roman" w:cs="Times New Roman"/>
          <w:i/>
          <w:iCs/>
          <w:color w:val="000000"/>
          <w:kern w:val="0"/>
          <w14:ligatures w14:val="none"/>
        </w:rPr>
        <w:t>House Bed &amp; Bath</w:t>
      </w:r>
      <w:r w:rsidRPr="00355E38">
        <w:rPr>
          <w:rFonts w:ascii="Times New Roman" w:eastAsia="Times New Roman" w:hAnsi="Times New Roman" w:cs="Times New Roman"/>
          <w:color w:val="000000"/>
          <w:kern w:val="0"/>
          <w14:ligatures w14:val="none"/>
        </w:rPr>
        <w:t> for homewares retailing, in circumstances where Bed Bath ’N’ Table (BBNT) had long traded under its established name and enjoyed a substantial reputation in the Australian market.</w:t>
      </w:r>
    </w:p>
    <w:p w14:paraId="5E20D9C4" w14:textId="5CD0099E" w:rsidR="00355E38" w:rsidRPr="00355E38" w:rsidRDefault="00355E38" w:rsidP="00355E38">
      <w:pPr>
        <w:spacing w:before="100" w:beforeAutospacing="1" w:after="100" w:afterAutospacing="1" w:line="240" w:lineRule="auto"/>
        <w:rPr>
          <w:rFonts w:ascii="Times New Roman" w:eastAsia="Times New Roman" w:hAnsi="Times New Roman" w:cs="Times New Roman"/>
          <w:color w:val="000000"/>
          <w:kern w:val="0"/>
          <w14:ligatures w14:val="none"/>
        </w:rPr>
      </w:pPr>
      <w:r w:rsidRPr="00355E38">
        <w:rPr>
          <w:rFonts w:ascii="Times New Roman" w:eastAsia="Times New Roman" w:hAnsi="Times New Roman" w:cs="Times New Roman"/>
          <w:color w:val="000000"/>
          <w:kern w:val="0"/>
          <w14:ligatures w14:val="none"/>
        </w:rPr>
        <w:t xml:space="preserve">BBNT alleged both trade mark infringement and misleading or deceptive conduct under s 18 of the ACL. While the trade mark claims were unsuccessful </w:t>
      </w:r>
      <w:r w:rsidRPr="00B22B2D">
        <w:rPr>
          <w:rFonts w:ascii="Times New Roman" w:eastAsia="Times New Roman" w:hAnsi="Times New Roman" w:cs="Times New Roman"/>
          <w:color w:val="000000"/>
          <w:kern w:val="0"/>
          <w14:ligatures w14:val="none"/>
        </w:rPr>
        <w:t xml:space="preserve">- </w:t>
      </w:r>
      <w:r w:rsidRPr="00355E38">
        <w:rPr>
          <w:rFonts w:ascii="Times New Roman" w:eastAsia="Times New Roman" w:hAnsi="Times New Roman" w:cs="Times New Roman"/>
          <w:color w:val="000000"/>
          <w:kern w:val="0"/>
          <w14:ligatures w14:val="none"/>
        </w:rPr>
        <w:t xml:space="preserve">largely due to the descriptive nature of the words “bed” and “bath” </w:t>
      </w:r>
      <w:r w:rsidRPr="00B22B2D">
        <w:rPr>
          <w:rFonts w:ascii="Times New Roman" w:eastAsia="Times New Roman" w:hAnsi="Times New Roman" w:cs="Times New Roman"/>
          <w:color w:val="000000"/>
          <w:kern w:val="0"/>
          <w14:ligatures w14:val="none"/>
        </w:rPr>
        <w:t xml:space="preserve">- </w:t>
      </w:r>
      <w:r w:rsidRPr="00355E38">
        <w:rPr>
          <w:rFonts w:ascii="Times New Roman" w:eastAsia="Times New Roman" w:hAnsi="Times New Roman" w:cs="Times New Roman"/>
          <w:color w:val="000000"/>
          <w:kern w:val="0"/>
          <w14:ligatures w14:val="none"/>
        </w:rPr>
        <w:t>the misleading or deceptive conduct claim succeeded.</w:t>
      </w:r>
    </w:p>
    <w:p w14:paraId="2D4F1430" w14:textId="77777777" w:rsidR="00355E38" w:rsidRPr="00355E38" w:rsidRDefault="00355E38" w:rsidP="00355E38">
      <w:pPr>
        <w:spacing w:before="100" w:beforeAutospacing="1" w:after="100" w:afterAutospacing="1" w:line="240" w:lineRule="auto"/>
        <w:rPr>
          <w:rFonts w:ascii="Times New Roman" w:eastAsia="Times New Roman" w:hAnsi="Times New Roman" w:cs="Times New Roman"/>
          <w:color w:val="000000"/>
          <w:kern w:val="0"/>
          <w14:ligatures w14:val="none"/>
        </w:rPr>
      </w:pPr>
      <w:r w:rsidRPr="00355E38">
        <w:rPr>
          <w:rFonts w:ascii="Times New Roman" w:eastAsia="Times New Roman" w:hAnsi="Times New Roman" w:cs="Times New Roman"/>
          <w:color w:val="000000"/>
          <w:kern w:val="0"/>
          <w14:ligatures w14:val="none"/>
        </w:rPr>
        <w:t>Critically, the High Court upheld findings that GRB’s branding and presentation conveyed a misleading impression of association with BBNT when assessed as a whole. That assessment did not stop at the words used in isolation, but extended to the totality of the brand’s presentation across retail environments.</w:t>
      </w:r>
    </w:p>
    <w:p w14:paraId="4A079D8B" w14:textId="309CFC5B" w:rsidR="00355E38" w:rsidRPr="00355E38" w:rsidRDefault="00355E38" w:rsidP="00355E38">
      <w:pPr>
        <w:spacing w:before="100" w:beforeAutospacing="1" w:after="100" w:afterAutospacing="1" w:line="240" w:lineRule="auto"/>
        <w:rPr>
          <w:rFonts w:ascii="Times New Roman" w:eastAsia="Times New Roman" w:hAnsi="Times New Roman" w:cs="Times New Roman"/>
          <w:color w:val="000000"/>
          <w:kern w:val="0"/>
          <w14:ligatures w14:val="none"/>
        </w:rPr>
      </w:pPr>
      <w:r w:rsidRPr="00355E38">
        <w:rPr>
          <w:rFonts w:ascii="Times New Roman" w:eastAsia="Times New Roman" w:hAnsi="Times New Roman" w:cs="Times New Roman"/>
          <w:color w:val="000000"/>
          <w:kern w:val="0"/>
          <w14:ligatures w14:val="none"/>
        </w:rPr>
        <w:t>This distinction between trade mark infringement and ACL liability is not new. What is notable, however, is how readily the Court accepted that confusion may arise from the cumulative effect of branding choices across multiple channels, including those that are now predominantly digital.</w:t>
      </w:r>
    </w:p>
    <w:p w14:paraId="2133CA72" w14:textId="77777777" w:rsidR="00355E38" w:rsidRPr="00355E38" w:rsidRDefault="00355E38" w:rsidP="00355E38">
      <w:pPr>
        <w:spacing w:before="100" w:beforeAutospacing="1" w:after="100" w:afterAutospacing="1" w:line="240" w:lineRule="auto"/>
        <w:outlineLvl w:val="2"/>
        <w:rPr>
          <w:rFonts w:ascii="Times New Roman" w:eastAsia="Times New Roman" w:hAnsi="Times New Roman" w:cs="Times New Roman"/>
          <w:b/>
          <w:bCs/>
          <w:color w:val="000000"/>
          <w:kern w:val="0"/>
          <w14:ligatures w14:val="none"/>
        </w:rPr>
      </w:pPr>
      <w:r w:rsidRPr="00355E38">
        <w:rPr>
          <w:rFonts w:ascii="Times New Roman" w:eastAsia="Times New Roman" w:hAnsi="Times New Roman" w:cs="Times New Roman"/>
          <w:b/>
          <w:bCs/>
          <w:color w:val="000000"/>
          <w:kern w:val="0"/>
          <w14:ligatures w14:val="none"/>
        </w:rPr>
        <w:t>Trade marks versus the ACL in a digital marketplace</w:t>
      </w:r>
    </w:p>
    <w:p w14:paraId="5AEA2EEF" w14:textId="77777777" w:rsidR="00355E38" w:rsidRPr="00355E38" w:rsidRDefault="00355E38" w:rsidP="00355E38">
      <w:pPr>
        <w:spacing w:before="100" w:beforeAutospacing="1" w:after="100" w:afterAutospacing="1" w:line="240" w:lineRule="auto"/>
        <w:rPr>
          <w:rFonts w:ascii="Times New Roman" w:eastAsia="Times New Roman" w:hAnsi="Times New Roman" w:cs="Times New Roman"/>
          <w:color w:val="000000"/>
          <w:kern w:val="0"/>
          <w14:ligatures w14:val="none"/>
        </w:rPr>
      </w:pPr>
      <w:r w:rsidRPr="00355E38">
        <w:rPr>
          <w:rFonts w:ascii="Times New Roman" w:eastAsia="Times New Roman" w:hAnsi="Times New Roman" w:cs="Times New Roman"/>
          <w:color w:val="000000"/>
          <w:kern w:val="0"/>
          <w14:ligatures w14:val="none"/>
        </w:rPr>
        <w:t>The case underscores a structural reality that has become increasingly pronounced in online commerce: trade mark law and consumer protection law operate on different conceptual planes.</w:t>
      </w:r>
    </w:p>
    <w:p w14:paraId="65177784" w14:textId="77777777" w:rsidR="00355E38" w:rsidRPr="00355E38" w:rsidRDefault="00355E38" w:rsidP="00355E38">
      <w:pPr>
        <w:spacing w:before="100" w:beforeAutospacing="1" w:after="100" w:afterAutospacing="1" w:line="240" w:lineRule="auto"/>
        <w:rPr>
          <w:rFonts w:ascii="Times New Roman" w:eastAsia="Times New Roman" w:hAnsi="Times New Roman" w:cs="Times New Roman"/>
          <w:color w:val="000000"/>
          <w:kern w:val="0"/>
          <w14:ligatures w14:val="none"/>
        </w:rPr>
      </w:pPr>
      <w:r w:rsidRPr="00355E38">
        <w:rPr>
          <w:rFonts w:ascii="Times New Roman" w:eastAsia="Times New Roman" w:hAnsi="Times New Roman" w:cs="Times New Roman"/>
          <w:color w:val="000000"/>
          <w:kern w:val="0"/>
          <w14:ligatures w14:val="none"/>
        </w:rPr>
        <w:t>Trade mark infringement is concerned with the use of a sign “as a trade mark” and requires relatively precise analysis of marks, goods and statutory defences. By contrast, s 18 of the ACL asks a broader, more impressionistic question: whether conduct is likely to mislead or deceive consumers in context.</w:t>
      </w:r>
    </w:p>
    <w:p w14:paraId="5050E3FC" w14:textId="19AE6764" w:rsidR="00355E38" w:rsidRPr="00355E38" w:rsidRDefault="00355E38" w:rsidP="00355E38">
      <w:pPr>
        <w:spacing w:before="100" w:beforeAutospacing="1" w:after="100" w:afterAutospacing="1" w:line="240" w:lineRule="auto"/>
        <w:rPr>
          <w:rFonts w:ascii="Times New Roman" w:eastAsia="Times New Roman" w:hAnsi="Times New Roman" w:cs="Times New Roman"/>
          <w:color w:val="000000"/>
          <w:kern w:val="0"/>
          <w14:ligatures w14:val="none"/>
        </w:rPr>
      </w:pPr>
      <w:r w:rsidRPr="00355E38">
        <w:rPr>
          <w:rFonts w:ascii="Times New Roman" w:eastAsia="Times New Roman" w:hAnsi="Times New Roman" w:cs="Times New Roman"/>
          <w:color w:val="000000"/>
          <w:kern w:val="0"/>
          <w14:ligatures w14:val="none"/>
        </w:rPr>
        <w:lastRenderedPageBreak/>
        <w:t xml:space="preserve">In a digital environment, that contextual inquiry is often far richer </w:t>
      </w:r>
      <w:r w:rsidRPr="00B22B2D">
        <w:rPr>
          <w:rFonts w:ascii="Times New Roman" w:eastAsia="Times New Roman" w:hAnsi="Times New Roman" w:cs="Times New Roman"/>
          <w:color w:val="000000"/>
          <w:kern w:val="0"/>
          <w14:ligatures w14:val="none"/>
        </w:rPr>
        <w:t xml:space="preserve">- </w:t>
      </w:r>
      <w:r w:rsidRPr="00355E38">
        <w:rPr>
          <w:rFonts w:ascii="Times New Roman" w:eastAsia="Times New Roman" w:hAnsi="Times New Roman" w:cs="Times New Roman"/>
          <w:color w:val="000000"/>
          <w:kern w:val="0"/>
          <w14:ligatures w14:val="none"/>
        </w:rPr>
        <w:t xml:space="preserve">and riskier </w:t>
      </w:r>
      <w:r w:rsidRPr="00B22B2D">
        <w:rPr>
          <w:rFonts w:ascii="Times New Roman" w:eastAsia="Times New Roman" w:hAnsi="Times New Roman" w:cs="Times New Roman"/>
          <w:color w:val="000000"/>
          <w:kern w:val="0"/>
          <w14:ligatures w14:val="none"/>
        </w:rPr>
        <w:t xml:space="preserve">- </w:t>
      </w:r>
      <w:r w:rsidRPr="00355E38">
        <w:rPr>
          <w:rFonts w:ascii="Times New Roman" w:eastAsia="Times New Roman" w:hAnsi="Times New Roman" w:cs="Times New Roman"/>
          <w:color w:val="000000"/>
          <w:kern w:val="0"/>
          <w14:ligatures w14:val="none"/>
        </w:rPr>
        <w:t>for businesses. Consumers rarely encounter a brand in a single, controlled format. Instead, they experience it through:</w:t>
      </w:r>
    </w:p>
    <w:p w14:paraId="4A471D01" w14:textId="77777777" w:rsidR="00355E38" w:rsidRPr="00355E38" w:rsidRDefault="00355E38" w:rsidP="00355E38">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355E38">
        <w:rPr>
          <w:rFonts w:ascii="Times New Roman" w:eastAsia="Times New Roman" w:hAnsi="Times New Roman" w:cs="Times New Roman"/>
          <w:color w:val="000000"/>
          <w:kern w:val="0"/>
          <w14:ligatures w14:val="none"/>
        </w:rPr>
        <w:t>website headers and navigation menus;</w:t>
      </w:r>
    </w:p>
    <w:p w14:paraId="25307CC4" w14:textId="77777777" w:rsidR="00355E38" w:rsidRPr="00355E38" w:rsidRDefault="00355E38" w:rsidP="00355E38">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355E38">
        <w:rPr>
          <w:rFonts w:ascii="Times New Roman" w:eastAsia="Times New Roman" w:hAnsi="Times New Roman" w:cs="Times New Roman"/>
          <w:color w:val="000000"/>
          <w:kern w:val="0"/>
          <w14:ligatures w14:val="none"/>
        </w:rPr>
        <w:t>domain names and URLs;</w:t>
      </w:r>
    </w:p>
    <w:p w14:paraId="502F3708" w14:textId="77777777" w:rsidR="00355E38" w:rsidRPr="00355E38" w:rsidRDefault="00355E38" w:rsidP="00355E38">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355E38">
        <w:rPr>
          <w:rFonts w:ascii="Times New Roman" w:eastAsia="Times New Roman" w:hAnsi="Times New Roman" w:cs="Times New Roman"/>
          <w:color w:val="000000"/>
          <w:kern w:val="0"/>
          <w14:ligatures w14:val="none"/>
        </w:rPr>
        <w:t>search engine results and sponsored links;</w:t>
      </w:r>
    </w:p>
    <w:p w14:paraId="3E5F00DA" w14:textId="77777777" w:rsidR="00355E38" w:rsidRPr="00355E38" w:rsidRDefault="00355E38" w:rsidP="00355E38">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355E38">
        <w:rPr>
          <w:rFonts w:ascii="Times New Roman" w:eastAsia="Times New Roman" w:hAnsi="Times New Roman" w:cs="Times New Roman"/>
          <w:color w:val="000000"/>
          <w:kern w:val="0"/>
          <w14:ligatures w14:val="none"/>
        </w:rPr>
        <w:t>social media profiles and advertisements;</w:t>
      </w:r>
    </w:p>
    <w:p w14:paraId="5DB087F4" w14:textId="77777777" w:rsidR="00355E38" w:rsidRPr="00355E38" w:rsidRDefault="00355E38" w:rsidP="00355E38">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355E38">
        <w:rPr>
          <w:rFonts w:ascii="Times New Roman" w:eastAsia="Times New Roman" w:hAnsi="Times New Roman" w:cs="Times New Roman"/>
          <w:color w:val="000000"/>
          <w:kern w:val="0"/>
          <w14:ligatures w14:val="none"/>
        </w:rPr>
        <w:t>email marketing and digital newsletters; and</w:t>
      </w:r>
    </w:p>
    <w:p w14:paraId="585C96E6" w14:textId="77777777" w:rsidR="00355E38" w:rsidRPr="00355E38" w:rsidRDefault="00355E38" w:rsidP="00355E38">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355E38">
        <w:rPr>
          <w:rFonts w:ascii="Times New Roman" w:eastAsia="Times New Roman" w:hAnsi="Times New Roman" w:cs="Times New Roman"/>
          <w:color w:val="000000"/>
          <w:kern w:val="0"/>
          <w14:ligatures w14:val="none"/>
        </w:rPr>
        <w:t>the interplay between online branding and physical store signage.</w:t>
      </w:r>
    </w:p>
    <w:p w14:paraId="7315C7AC" w14:textId="77777777" w:rsidR="00355E38" w:rsidRPr="00355E38" w:rsidRDefault="00355E38" w:rsidP="00355E38">
      <w:pPr>
        <w:spacing w:before="100" w:beforeAutospacing="1" w:after="100" w:afterAutospacing="1" w:line="240" w:lineRule="auto"/>
        <w:rPr>
          <w:rFonts w:ascii="Times New Roman" w:eastAsia="Times New Roman" w:hAnsi="Times New Roman" w:cs="Times New Roman"/>
          <w:color w:val="000000"/>
          <w:kern w:val="0"/>
          <w14:ligatures w14:val="none"/>
        </w:rPr>
      </w:pPr>
      <w:r w:rsidRPr="00355E38">
        <w:rPr>
          <w:rFonts w:ascii="Times New Roman" w:eastAsia="Times New Roman" w:hAnsi="Times New Roman" w:cs="Times New Roman"/>
          <w:i/>
          <w:iCs/>
          <w:color w:val="000000"/>
          <w:kern w:val="0"/>
          <w14:ligatures w14:val="none"/>
        </w:rPr>
        <w:t>Bed Bath ’N’ Table</w:t>
      </w:r>
      <w:r w:rsidRPr="00355E38">
        <w:rPr>
          <w:rFonts w:ascii="Times New Roman" w:eastAsia="Times New Roman" w:hAnsi="Times New Roman" w:cs="Times New Roman"/>
          <w:color w:val="000000"/>
          <w:kern w:val="0"/>
          <w14:ligatures w14:val="none"/>
        </w:rPr>
        <w:t> confirms that courts will take this reality seriously. Even where individual elements (such as a brand name) may be descriptive or legally permissible under trade mark law, their deployment across a coherent digital and physical “get-up” can still create a misleading overall impression.</w:t>
      </w:r>
    </w:p>
    <w:p w14:paraId="23185983" w14:textId="64ED444A" w:rsidR="00355E38" w:rsidRPr="00355E38" w:rsidRDefault="00355E38" w:rsidP="00355E38">
      <w:pPr>
        <w:spacing w:before="100" w:beforeAutospacing="1" w:after="100" w:afterAutospacing="1" w:line="240" w:lineRule="auto"/>
        <w:rPr>
          <w:rFonts w:ascii="Times New Roman" w:eastAsia="Times New Roman" w:hAnsi="Times New Roman" w:cs="Times New Roman"/>
          <w:color w:val="000000"/>
          <w:kern w:val="0"/>
          <w14:ligatures w14:val="none"/>
        </w:rPr>
      </w:pPr>
      <w:r w:rsidRPr="00355E38">
        <w:rPr>
          <w:rFonts w:ascii="Times New Roman" w:eastAsia="Times New Roman" w:hAnsi="Times New Roman" w:cs="Times New Roman"/>
          <w:color w:val="000000"/>
          <w:kern w:val="0"/>
          <w14:ligatures w14:val="none"/>
        </w:rPr>
        <w:t>For retailers, this means that compliance cannot be assessed channel by channel. A brand name that is defensible in isolation may nonetheless generate ACL exposure when paired with particular colour schemes, layouts, category descriptors or online presentation choices that echo a competitor’s established digital identity.</w:t>
      </w:r>
    </w:p>
    <w:p w14:paraId="782ECB8E" w14:textId="77777777" w:rsidR="00355E38" w:rsidRPr="00355E38" w:rsidRDefault="00355E38" w:rsidP="00355E38">
      <w:pPr>
        <w:spacing w:before="100" w:beforeAutospacing="1" w:after="100" w:afterAutospacing="1" w:line="240" w:lineRule="auto"/>
        <w:outlineLvl w:val="2"/>
        <w:rPr>
          <w:rFonts w:ascii="Times New Roman" w:eastAsia="Times New Roman" w:hAnsi="Times New Roman" w:cs="Times New Roman"/>
          <w:b/>
          <w:bCs/>
          <w:color w:val="000000"/>
          <w:kern w:val="0"/>
          <w14:ligatures w14:val="none"/>
        </w:rPr>
      </w:pPr>
      <w:r w:rsidRPr="00355E38">
        <w:rPr>
          <w:rFonts w:ascii="Times New Roman" w:eastAsia="Times New Roman" w:hAnsi="Times New Roman" w:cs="Times New Roman"/>
          <w:b/>
          <w:bCs/>
          <w:color w:val="000000"/>
          <w:kern w:val="0"/>
          <w14:ligatures w14:val="none"/>
        </w:rPr>
        <w:t>Overall “get-up” and consumer impression across channels</w:t>
      </w:r>
    </w:p>
    <w:p w14:paraId="3644060A" w14:textId="77777777" w:rsidR="00355E38" w:rsidRPr="00355E38" w:rsidRDefault="00355E38" w:rsidP="00355E38">
      <w:pPr>
        <w:spacing w:before="100" w:beforeAutospacing="1" w:after="100" w:afterAutospacing="1" w:line="240" w:lineRule="auto"/>
        <w:rPr>
          <w:rFonts w:ascii="Times New Roman" w:eastAsia="Times New Roman" w:hAnsi="Times New Roman" w:cs="Times New Roman"/>
          <w:color w:val="000000"/>
          <w:kern w:val="0"/>
          <w14:ligatures w14:val="none"/>
        </w:rPr>
      </w:pPr>
      <w:r w:rsidRPr="00355E38">
        <w:rPr>
          <w:rFonts w:ascii="Times New Roman" w:eastAsia="Times New Roman" w:hAnsi="Times New Roman" w:cs="Times New Roman"/>
          <w:color w:val="000000"/>
          <w:kern w:val="0"/>
          <w14:ligatures w14:val="none"/>
        </w:rPr>
        <w:t>A central theme in the decision is the emphasis on overall consumer impression. The High Court reiterated that misleading or deceptive conduct is assessed by reference to the likely effect of the conduct on ordinary or reasonable members of the target audience, considering all relevant circumstances.</w:t>
      </w:r>
    </w:p>
    <w:p w14:paraId="6AA8866C" w14:textId="01EDFD64" w:rsidR="00355E38" w:rsidRPr="00355E38" w:rsidRDefault="00355E38" w:rsidP="00355E38">
      <w:pPr>
        <w:spacing w:before="100" w:beforeAutospacing="1" w:after="100" w:afterAutospacing="1" w:line="240" w:lineRule="auto"/>
        <w:rPr>
          <w:rFonts w:ascii="Times New Roman" w:eastAsia="Times New Roman" w:hAnsi="Times New Roman" w:cs="Times New Roman"/>
          <w:color w:val="000000"/>
          <w:kern w:val="0"/>
          <w14:ligatures w14:val="none"/>
        </w:rPr>
      </w:pPr>
      <w:r w:rsidRPr="00355E38">
        <w:rPr>
          <w:rFonts w:ascii="Times New Roman" w:eastAsia="Times New Roman" w:hAnsi="Times New Roman" w:cs="Times New Roman"/>
          <w:color w:val="000000"/>
          <w:kern w:val="0"/>
          <w14:ligatures w14:val="none"/>
        </w:rPr>
        <w:t xml:space="preserve">Importantly, those circumstances are no longer confined to a single point of sale. For many consumers, especially in retail, their first </w:t>
      </w:r>
      <w:r w:rsidRPr="00B22B2D">
        <w:rPr>
          <w:rFonts w:ascii="Times New Roman" w:eastAsia="Times New Roman" w:hAnsi="Times New Roman" w:cs="Times New Roman"/>
          <w:color w:val="000000"/>
          <w:kern w:val="0"/>
          <w14:ligatures w14:val="none"/>
        </w:rPr>
        <w:t xml:space="preserve">- </w:t>
      </w:r>
      <w:r w:rsidRPr="00355E38">
        <w:rPr>
          <w:rFonts w:ascii="Times New Roman" w:eastAsia="Times New Roman" w:hAnsi="Times New Roman" w:cs="Times New Roman"/>
          <w:color w:val="000000"/>
          <w:kern w:val="0"/>
          <w14:ligatures w14:val="none"/>
        </w:rPr>
        <w:t xml:space="preserve">and sometimes only </w:t>
      </w:r>
      <w:r w:rsidRPr="00B22B2D">
        <w:rPr>
          <w:rFonts w:ascii="Times New Roman" w:eastAsia="Times New Roman" w:hAnsi="Times New Roman" w:cs="Times New Roman"/>
          <w:color w:val="000000"/>
          <w:kern w:val="0"/>
          <w14:ligatures w14:val="none"/>
        </w:rPr>
        <w:t xml:space="preserve">- </w:t>
      </w:r>
      <w:r w:rsidRPr="00355E38">
        <w:rPr>
          <w:rFonts w:ascii="Times New Roman" w:eastAsia="Times New Roman" w:hAnsi="Times New Roman" w:cs="Times New Roman"/>
          <w:color w:val="000000"/>
          <w:kern w:val="0"/>
          <w14:ligatures w14:val="none"/>
        </w:rPr>
        <w:t>interaction with a brand occurs online.</w:t>
      </w:r>
    </w:p>
    <w:p w14:paraId="5E39C070" w14:textId="77777777" w:rsidR="00355E38" w:rsidRPr="00355E38" w:rsidRDefault="00355E38" w:rsidP="00355E38">
      <w:pPr>
        <w:spacing w:before="100" w:beforeAutospacing="1" w:after="100" w:afterAutospacing="1" w:line="240" w:lineRule="auto"/>
        <w:rPr>
          <w:rFonts w:ascii="Times New Roman" w:eastAsia="Times New Roman" w:hAnsi="Times New Roman" w:cs="Times New Roman"/>
          <w:color w:val="000000"/>
          <w:kern w:val="0"/>
          <w14:ligatures w14:val="none"/>
        </w:rPr>
      </w:pPr>
      <w:r w:rsidRPr="00355E38">
        <w:rPr>
          <w:rFonts w:ascii="Times New Roman" w:eastAsia="Times New Roman" w:hAnsi="Times New Roman" w:cs="Times New Roman"/>
          <w:color w:val="000000"/>
          <w:kern w:val="0"/>
          <w14:ligatures w14:val="none"/>
        </w:rPr>
        <w:t>The Court’s approach implicitly recognises that:</w:t>
      </w:r>
    </w:p>
    <w:p w14:paraId="68987568" w14:textId="77777777" w:rsidR="00355E38" w:rsidRPr="00355E38" w:rsidRDefault="00355E38" w:rsidP="00355E38">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355E38">
        <w:rPr>
          <w:rFonts w:ascii="Times New Roman" w:eastAsia="Times New Roman" w:hAnsi="Times New Roman" w:cs="Times New Roman"/>
          <w:color w:val="000000"/>
          <w:kern w:val="0"/>
          <w14:ligatures w14:val="none"/>
        </w:rPr>
        <w:t>consumers may move seamlessly between online research and physical shopping;</w:t>
      </w:r>
    </w:p>
    <w:p w14:paraId="3BDD0620" w14:textId="77777777" w:rsidR="00355E38" w:rsidRPr="00355E38" w:rsidRDefault="00355E38" w:rsidP="00355E38">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355E38">
        <w:rPr>
          <w:rFonts w:ascii="Times New Roman" w:eastAsia="Times New Roman" w:hAnsi="Times New Roman" w:cs="Times New Roman"/>
          <w:color w:val="000000"/>
          <w:kern w:val="0"/>
          <w14:ligatures w14:val="none"/>
        </w:rPr>
        <w:t>brand recognition is often formed through repeated digital exposure rather than careful comparison; and</w:t>
      </w:r>
    </w:p>
    <w:p w14:paraId="2940D052" w14:textId="77777777" w:rsidR="00355E38" w:rsidRPr="00355E38" w:rsidRDefault="00355E38" w:rsidP="00355E38">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355E38">
        <w:rPr>
          <w:rFonts w:ascii="Times New Roman" w:eastAsia="Times New Roman" w:hAnsi="Times New Roman" w:cs="Times New Roman"/>
          <w:color w:val="000000"/>
          <w:kern w:val="0"/>
          <w14:ligatures w14:val="none"/>
        </w:rPr>
        <w:t>confusion may arise cumulatively, even if no single encounter is determinative.</w:t>
      </w:r>
    </w:p>
    <w:p w14:paraId="36849356" w14:textId="77777777" w:rsidR="00355E38" w:rsidRPr="00355E38" w:rsidRDefault="00355E38" w:rsidP="00355E38">
      <w:pPr>
        <w:spacing w:before="100" w:beforeAutospacing="1" w:after="100" w:afterAutospacing="1" w:line="240" w:lineRule="auto"/>
        <w:rPr>
          <w:rFonts w:ascii="Times New Roman" w:eastAsia="Times New Roman" w:hAnsi="Times New Roman" w:cs="Times New Roman"/>
          <w:color w:val="000000"/>
          <w:kern w:val="0"/>
          <w14:ligatures w14:val="none"/>
        </w:rPr>
      </w:pPr>
      <w:r w:rsidRPr="00355E38">
        <w:rPr>
          <w:rFonts w:ascii="Times New Roman" w:eastAsia="Times New Roman" w:hAnsi="Times New Roman" w:cs="Times New Roman"/>
          <w:color w:val="000000"/>
          <w:kern w:val="0"/>
          <w14:ligatures w14:val="none"/>
        </w:rPr>
        <w:t>This has direct implications for online branding design. Elements such as site headers, navigation labels, category names and even metadata can contribute to an impression of association or affiliation when viewed alongside a competitor’s established digital presence.</w:t>
      </w:r>
    </w:p>
    <w:p w14:paraId="171510E7" w14:textId="77777777" w:rsidR="00355E38" w:rsidRPr="00355E38" w:rsidRDefault="00355E38" w:rsidP="00355E38">
      <w:pPr>
        <w:spacing w:before="100" w:beforeAutospacing="1" w:after="100" w:afterAutospacing="1" w:line="240" w:lineRule="auto"/>
        <w:rPr>
          <w:rFonts w:ascii="Times New Roman" w:eastAsia="Times New Roman" w:hAnsi="Times New Roman" w:cs="Times New Roman"/>
          <w:color w:val="000000"/>
          <w:kern w:val="0"/>
          <w14:ligatures w14:val="none"/>
        </w:rPr>
      </w:pPr>
      <w:r w:rsidRPr="00355E38">
        <w:rPr>
          <w:rFonts w:ascii="Times New Roman" w:eastAsia="Times New Roman" w:hAnsi="Times New Roman" w:cs="Times New Roman"/>
          <w:color w:val="000000"/>
          <w:kern w:val="0"/>
          <w14:ligatures w14:val="none"/>
        </w:rPr>
        <w:lastRenderedPageBreak/>
        <w:t>For example, where two retailers operate in the same sector and adopt similar descriptive branding, the risk of confusion may be amplified by:</w:t>
      </w:r>
    </w:p>
    <w:p w14:paraId="1E362C69" w14:textId="77777777" w:rsidR="00355E38" w:rsidRPr="00355E38" w:rsidRDefault="00355E38" w:rsidP="00355E38">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355E38">
        <w:rPr>
          <w:rFonts w:ascii="Times New Roman" w:eastAsia="Times New Roman" w:hAnsi="Times New Roman" w:cs="Times New Roman"/>
          <w:color w:val="000000"/>
          <w:kern w:val="0"/>
          <w14:ligatures w14:val="none"/>
        </w:rPr>
        <w:t>similar website structures or taxonomy (for example, identical category labels);</w:t>
      </w:r>
    </w:p>
    <w:p w14:paraId="1F527E5B" w14:textId="77777777" w:rsidR="00355E38" w:rsidRPr="00355E38" w:rsidRDefault="00355E38" w:rsidP="00355E38">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355E38">
        <w:rPr>
          <w:rFonts w:ascii="Times New Roman" w:eastAsia="Times New Roman" w:hAnsi="Times New Roman" w:cs="Times New Roman"/>
          <w:color w:val="000000"/>
          <w:kern w:val="0"/>
          <w14:ligatures w14:val="none"/>
        </w:rPr>
        <w:t>comparable visual hierarchy and layout;</w:t>
      </w:r>
    </w:p>
    <w:p w14:paraId="3AC6241A" w14:textId="77777777" w:rsidR="00355E38" w:rsidRPr="00355E38" w:rsidRDefault="00355E38" w:rsidP="00355E38">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355E38">
        <w:rPr>
          <w:rFonts w:ascii="Times New Roman" w:eastAsia="Times New Roman" w:hAnsi="Times New Roman" w:cs="Times New Roman"/>
          <w:color w:val="000000"/>
          <w:kern w:val="0"/>
          <w14:ligatures w14:val="none"/>
        </w:rPr>
        <w:t>overlapping use of descriptive phrases in search engine optimisation; and</w:t>
      </w:r>
    </w:p>
    <w:p w14:paraId="5E63D861" w14:textId="77777777" w:rsidR="00355E38" w:rsidRPr="00355E38" w:rsidRDefault="00355E38" w:rsidP="00355E38">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355E38">
        <w:rPr>
          <w:rFonts w:ascii="Times New Roman" w:eastAsia="Times New Roman" w:hAnsi="Times New Roman" w:cs="Times New Roman"/>
          <w:color w:val="000000"/>
          <w:kern w:val="0"/>
          <w14:ligatures w14:val="none"/>
        </w:rPr>
        <w:t>consistent repetition of those elements across social media and email campaigns.</w:t>
      </w:r>
    </w:p>
    <w:p w14:paraId="005D76C2" w14:textId="67879533" w:rsidR="00355E38" w:rsidRPr="00B22B2D" w:rsidRDefault="00355E38" w:rsidP="00355E38">
      <w:pPr>
        <w:spacing w:before="100" w:beforeAutospacing="1" w:after="100" w:afterAutospacing="1" w:line="240" w:lineRule="auto"/>
        <w:rPr>
          <w:rFonts w:ascii="Times New Roman" w:eastAsia="Times New Roman" w:hAnsi="Times New Roman" w:cs="Times New Roman"/>
          <w:color w:val="000000"/>
          <w:kern w:val="0"/>
          <w14:ligatures w14:val="none"/>
        </w:rPr>
      </w:pPr>
      <w:r w:rsidRPr="00355E38">
        <w:rPr>
          <w:rFonts w:ascii="Times New Roman" w:eastAsia="Times New Roman" w:hAnsi="Times New Roman" w:cs="Times New Roman"/>
          <w:i/>
          <w:iCs/>
          <w:color w:val="000000"/>
          <w:kern w:val="0"/>
          <w14:ligatures w14:val="none"/>
        </w:rPr>
        <w:t>Bed Bath ’N’ Table</w:t>
      </w:r>
      <w:r w:rsidRPr="00355E38">
        <w:rPr>
          <w:rFonts w:ascii="Times New Roman" w:eastAsia="Times New Roman" w:hAnsi="Times New Roman" w:cs="Times New Roman"/>
          <w:color w:val="000000"/>
          <w:kern w:val="0"/>
          <w14:ligatures w14:val="none"/>
        </w:rPr>
        <w:t> illustrates that courts will not artificially separate these features. Instead, they will ask how a consumer encountering the brand across multiple digital touchpoints is likely to perceive it.</w:t>
      </w:r>
    </w:p>
    <w:p w14:paraId="7A627F39" w14:textId="470D08DA" w:rsidR="00A13671" w:rsidRPr="00B22B2D" w:rsidRDefault="00A13671" w:rsidP="00A13671">
      <w:pPr>
        <w:pStyle w:val="NormalWeb"/>
        <w:rPr>
          <w:color w:val="000000"/>
        </w:rPr>
      </w:pPr>
      <w:r w:rsidRPr="00B22B2D">
        <w:rPr>
          <w:color w:val="000000"/>
        </w:rPr>
        <w:t xml:space="preserve">A second key aspect of the decision is its emphasis on overall “get-up” and consumer impression across multiple channels, reflecting a contemporary understanding of how brands are experienced. Rather than isolating individual elements of branding, the Court’s reasoning supports an assessment of how those elements interact across environments to create a coherent </w:t>
      </w:r>
      <w:r w:rsidR="00B22B2D" w:rsidRPr="00B22B2D">
        <w:rPr>
          <w:color w:val="000000"/>
        </w:rPr>
        <w:t xml:space="preserve">- </w:t>
      </w:r>
      <w:r w:rsidRPr="00B22B2D">
        <w:rPr>
          <w:color w:val="000000"/>
        </w:rPr>
        <w:t xml:space="preserve">and potentially misleading </w:t>
      </w:r>
      <w:r w:rsidR="00B22B2D" w:rsidRPr="00B22B2D">
        <w:rPr>
          <w:color w:val="000000"/>
        </w:rPr>
        <w:t xml:space="preserve">- </w:t>
      </w:r>
      <w:r w:rsidRPr="00B22B2D">
        <w:rPr>
          <w:color w:val="000000"/>
        </w:rPr>
        <w:t>impression.</w:t>
      </w:r>
    </w:p>
    <w:p w14:paraId="2FB7AE83" w14:textId="77777777" w:rsidR="00A13671" w:rsidRPr="00B22B2D" w:rsidRDefault="00A13671" w:rsidP="00A13671">
      <w:pPr>
        <w:pStyle w:val="NormalWeb"/>
        <w:rPr>
          <w:color w:val="000000"/>
        </w:rPr>
      </w:pPr>
      <w:r w:rsidRPr="00B22B2D">
        <w:rPr>
          <w:color w:val="000000"/>
        </w:rPr>
        <w:t>In online retail, “get-up” extends well beyond logos and store signage. It encompasses website architecture, navigation terminology, visual hierarchy, colour schemes, typography, and even the sequencing of consumer interactions. These elements may not be consciously analysed by consumers, but they operate together to produce familiarity and recognition. Where that familiarity mirrors an established brand, confusion may arise even without direct copying.</w:t>
      </w:r>
    </w:p>
    <w:p w14:paraId="34AE945C" w14:textId="57D19570" w:rsidR="00A13671" w:rsidRPr="00B22B2D" w:rsidRDefault="00A13671" w:rsidP="00A13671">
      <w:pPr>
        <w:pStyle w:val="NormalWeb"/>
        <w:rPr>
          <w:color w:val="000000"/>
        </w:rPr>
      </w:pPr>
      <w:r w:rsidRPr="00B22B2D">
        <w:rPr>
          <w:color w:val="000000"/>
        </w:rPr>
        <w:t xml:space="preserve">The digital context amplifies this effect because consumers often move fluidly between channels. A consumer may see a social media advertisement, click through to a website, receive a follow-up email, and later encounter a physical store </w:t>
      </w:r>
      <w:r w:rsidR="00B22B2D" w:rsidRPr="00B22B2D">
        <w:rPr>
          <w:color w:val="000000"/>
        </w:rPr>
        <w:t xml:space="preserve">- </w:t>
      </w:r>
      <w:r w:rsidRPr="00B22B2D">
        <w:rPr>
          <w:color w:val="000000"/>
        </w:rPr>
        <w:t>all before consciously reflecting on brand ownership. Each encounter reinforces the previous one, strengthening the overall impression.</w:t>
      </w:r>
    </w:p>
    <w:p w14:paraId="287E4CD0" w14:textId="77777777" w:rsidR="00A13671" w:rsidRPr="00B22B2D" w:rsidRDefault="00A13671" w:rsidP="00A13671">
      <w:pPr>
        <w:pStyle w:val="NormalWeb"/>
        <w:rPr>
          <w:color w:val="000000"/>
        </w:rPr>
      </w:pPr>
      <w:r w:rsidRPr="00B22B2D">
        <w:rPr>
          <w:rStyle w:val="Emphasis"/>
          <w:rFonts w:eastAsiaTheme="majorEastAsia"/>
          <w:color w:val="000000"/>
        </w:rPr>
        <w:t>Bed Bath ’N’ Table</w:t>
      </w:r>
      <w:r w:rsidRPr="00B22B2D">
        <w:rPr>
          <w:rStyle w:val="apple-converted-space"/>
          <w:rFonts w:eastAsiaTheme="majorEastAsia"/>
          <w:color w:val="000000"/>
        </w:rPr>
        <w:t> </w:t>
      </w:r>
      <w:r w:rsidRPr="00B22B2D">
        <w:rPr>
          <w:color w:val="000000"/>
        </w:rPr>
        <w:t>reinforces that courts will assess confusion in light of this reality. The question is not whether any single touchpoint is misleading in isolation, but whether the totality of the conduct is likely to lead consumers into error. This approach is particularly relevant where branding is deliberately aligned across online and offline channels to create a seamless customer experience.</w:t>
      </w:r>
    </w:p>
    <w:p w14:paraId="3378DDE3" w14:textId="35AF56B0" w:rsidR="00A13671" w:rsidRPr="00355E38" w:rsidRDefault="00A13671" w:rsidP="00A13671">
      <w:pPr>
        <w:pStyle w:val="NormalWeb"/>
        <w:rPr>
          <w:color w:val="000000"/>
        </w:rPr>
      </w:pPr>
      <w:r w:rsidRPr="00B22B2D">
        <w:rPr>
          <w:color w:val="000000"/>
        </w:rPr>
        <w:t xml:space="preserve">For designers and marketers, this means that decisions about online presentation are not merely functional or aesthetic. They contribute to legal risk under the ACL. Similarity in site structure, category naming or visual design </w:t>
      </w:r>
      <w:r w:rsidR="00B22B2D" w:rsidRPr="00B22B2D">
        <w:rPr>
          <w:color w:val="000000"/>
        </w:rPr>
        <w:t xml:space="preserve">- </w:t>
      </w:r>
      <w:r w:rsidRPr="00B22B2D">
        <w:rPr>
          <w:color w:val="000000"/>
        </w:rPr>
        <w:t>especially in competitive markets</w:t>
      </w:r>
      <w:r w:rsidR="00B22B2D" w:rsidRPr="00B22B2D">
        <w:rPr>
          <w:color w:val="000000"/>
        </w:rPr>
        <w:t xml:space="preserve"> -</w:t>
      </w:r>
      <w:r w:rsidRPr="00B22B2D">
        <w:rPr>
          <w:color w:val="000000"/>
        </w:rPr>
        <w:t xml:space="preserve"> may carry significance when viewed as part of an overall branding strategy rather than as isolated choices.</w:t>
      </w:r>
    </w:p>
    <w:p w14:paraId="3B617F7D" w14:textId="77777777" w:rsidR="00DB0F1B" w:rsidRDefault="00DB0F1B" w:rsidP="00355E38">
      <w:pPr>
        <w:spacing w:before="100" w:beforeAutospacing="1" w:after="100" w:afterAutospacing="1" w:line="240" w:lineRule="auto"/>
        <w:outlineLvl w:val="2"/>
        <w:rPr>
          <w:rFonts w:ascii="Times New Roman" w:eastAsia="Times New Roman" w:hAnsi="Times New Roman" w:cs="Times New Roman"/>
          <w:b/>
          <w:bCs/>
          <w:color w:val="000000"/>
          <w:kern w:val="0"/>
          <w14:ligatures w14:val="none"/>
        </w:rPr>
      </w:pPr>
    </w:p>
    <w:p w14:paraId="028FAED2" w14:textId="77777777" w:rsidR="00DB0F1B" w:rsidRDefault="00DB0F1B" w:rsidP="00355E38">
      <w:pPr>
        <w:spacing w:before="100" w:beforeAutospacing="1" w:after="100" w:afterAutospacing="1" w:line="240" w:lineRule="auto"/>
        <w:outlineLvl w:val="2"/>
        <w:rPr>
          <w:rFonts w:ascii="Times New Roman" w:eastAsia="Times New Roman" w:hAnsi="Times New Roman" w:cs="Times New Roman"/>
          <w:b/>
          <w:bCs/>
          <w:color w:val="000000"/>
          <w:kern w:val="0"/>
          <w14:ligatures w14:val="none"/>
        </w:rPr>
      </w:pPr>
    </w:p>
    <w:p w14:paraId="1CA1B1D1" w14:textId="2664C2BE" w:rsidR="00355E38" w:rsidRPr="00355E38" w:rsidRDefault="00355E38" w:rsidP="00355E38">
      <w:pPr>
        <w:spacing w:before="100" w:beforeAutospacing="1" w:after="100" w:afterAutospacing="1" w:line="240" w:lineRule="auto"/>
        <w:outlineLvl w:val="2"/>
        <w:rPr>
          <w:rFonts w:ascii="Times New Roman" w:eastAsia="Times New Roman" w:hAnsi="Times New Roman" w:cs="Times New Roman"/>
          <w:b/>
          <w:bCs/>
          <w:color w:val="000000"/>
          <w:kern w:val="0"/>
          <w14:ligatures w14:val="none"/>
        </w:rPr>
      </w:pPr>
      <w:r w:rsidRPr="00355E38">
        <w:rPr>
          <w:rFonts w:ascii="Times New Roman" w:eastAsia="Times New Roman" w:hAnsi="Times New Roman" w:cs="Times New Roman"/>
          <w:b/>
          <w:bCs/>
          <w:color w:val="000000"/>
          <w:kern w:val="0"/>
          <w14:ligatures w14:val="none"/>
        </w:rPr>
        <w:lastRenderedPageBreak/>
        <w:t>Digital-first and the evolving consumer journey</w:t>
      </w:r>
    </w:p>
    <w:p w14:paraId="022F6165" w14:textId="752F2D5D" w:rsidR="00355E38" w:rsidRPr="00355E38" w:rsidRDefault="00355E38" w:rsidP="00355E38">
      <w:pPr>
        <w:spacing w:before="100" w:beforeAutospacing="1" w:after="100" w:afterAutospacing="1" w:line="240" w:lineRule="auto"/>
        <w:rPr>
          <w:rFonts w:ascii="Times New Roman" w:eastAsia="Times New Roman" w:hAnsi="Times New Roman" w:cs="Times New Roman"/>
          <w:color w:val="000000"/>
          <w:kern w:val="0"/>
          <w14:ligatures w14:val="none"/>
        </w:rPr>
      </w:pPr>
      <w:r w:rsidRPr="00355E38">
        <w:rPr>
          <w:rFonts w:ascii="Times New Roman" w:eastAsia="Times New Roman" w:hAnsi="Times New Roman" w:cs="Times New Roman"/>
          <w:color w:val="000000"/>
          <w:kern w:val="0"/>
          <w14:ligatures w14:val="none"/>
        </w:rPr>
        <w:t xml:space="preserve">One of the most significant </w:t>
      </w:r>
      <w:r w:rsidRPr="00B22B2D">
        <w:rPr>
          <w:rFonts w:ascii="Times New Roman" w:eastAsia="Times New Roman" w:hAnsi="Times New Roman" w:cs="Times New Roman"/>
          <w:color w:val="000000"/>
          <w:kern w:val="0"/>
          <w14:ligatures w14:val="none"/>
        </w:rPr>
        <w:t>-</w:t>
      </w:r>
      <w:r w:rsidRPr="00355E38">
        <w:rPr>
          <w:rFonts w:ascii="Times New Roman" w:eastAsia="Times New Roman" w:hAnsi="Times New Roman" w:cs="Times New Roman"/>
          <w:color w:val="000000"/>
          <w:kern w:val="0"/>
          <w14:ligatures w14:val="none"/>
        </w:rPr>
        <w:t xml:space="preserve"> if implicit </w:t>
      </w:r>
      <w:r w:rsidRPr="00B22B2D">
        <w:rPr>
          <w:rFonts w:ascii="Times New Roman" w:eastAsia="Times New Roman" w:hAnsi="Times New Roman" w:cs="Times New Roman"/>
          <w:color w:val="000000"/>
          <w:kern w:val="0"/>
          <w14:ligatures w14:val="none"/>
        </w:rPr>
        <w:t xml:space="preserve">- </w:t>
      </w:r>
      <w:r w:rsidRPr="00355E38">
        <w:rPr>
          <w:rFonts w:ascii="Times New Roman" w:eastAsia="Times New Roman" w:hAnsi="Times New Roman" w:cs="Times New Roman"/>
          <w:color w:val="000000"/>
          <w:kern w:val="0"/>
          <w14:ligatures w14:val="none"/>
        </w:rPr>
        <w:t>aspects of the decision is its alignment with contemporary consumer behaviour. The “consumer journey” is now fragmented, non-linear and often algorithmically mediated.</w:t>
      </w:r>
    </w:p>
    <w:p w14:paraId="6EB7FF9C" w14:textId="77777777" w:rsidR="00355E38" w:rsidRPr="00355E38" w:rsidRDefault="00355E38" w:rsidP="00355E38">
      <w:pPr>
        <w:spacing w:before="100" w:beforeAutospacing="1" w:after="100" w:afterAutospacing="1" w:line="240" w:lineRule="auto"/>
        <w:rPr>
          <w:rFonts w:ascii="Times New Roman" w:eastAsia="Times New Roman" w:hAnsi="Times New Roman" w:cs="Times New Roman"/>
          <w:color w:val="000000"/>
          <w:kern w:val="0"/>
          <w14:ligatures w14:val="none"/>
        </w:rPr>
      </w:pPr>
      <w:r w:rsidRPr="00355E38">
        <w:rPr>
          <w:rFonts w:ascii="Times New Roman" w:eastAsia="Times New Roman" w:hAnsi="Times New Roman" w:cs="Times New Roman"/>
          <w:color w:val="000000"/>
          <w:kern w:val="0"/>
          <w14:ligatures w14:val="none"/>
        </w:rPr>
        <w:t>A consumer may first encounter a brand through:</w:t>
      </w:r>
    </w:p>
    <w:p w14:paraId="23D5EC0D" w14:textId="77777777" w:rsidR="00355E38" w:rsidRPr="00355E38" w:rsidRDefault="00355E38" w:rsidP="00355E38">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355E38">
        <w:rPr>
          <w:rFonts w:ascii="Times New Roman" w:eastAsia="Times New Roman" w:hAnsi="Times New Roman" w:cs="Times New Roman"/>
          <w:color w:val="000000"/>
          <w:kern w:val="0"/>
          <w14:ligatures w14:val="none"/>
        </w:rPr>
        <w:t>a Google search result;</w:t>
      </w:r>
    </w:p>
    <w:p w14:paraId="60CD7A2C" w14:textId="77777777" w:rsidR="00355E38" w:rsidRPr="00355E38" w:rsidRDefault="00355E38" w:rsidP="00355E38">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355E38">
        <w:rPr>
          <w:rFonts w:ascii="Times New Roman" w:eastAsia="Times New Roman" w:hAnsi="Times New Roman" w:cs="Times New Roman"/>
          <w:color w:val="000000"/>
          <w:kern w:val="0"/>
          <w14:ligatures w14:val="none"/>
        </w:rPr>
        <w:t>a paid advertisement;</w:t>
      </w:r>
    </w:p>
    <w:p w14:paraId="45D4E6D1" w14:textId="77777777" w:rsidR="00355E38" w:rsidRPr="00355E38" w:rsidRDefault="00355E38" w:rsidP="00355E38">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355E38">
        <w:rPr>
          <w:rFonts w:ascii="Times New Roman" w:eastAsia="Times New Roman" w:hAnsi="Times New Roman" w:cs="Times New Roman"/>
          <w:color w:val="000000"/>
          <w:kern w:val="0"/>
          <w14:ligatures w14:val="none"/>
        </w:rPr>
        <w:t>a social media post; or</w:t>
      </w:r>
    </w:p>
    <w:p w14:paraId="13A7AAEF" w14:textId="77777777" w:rsidR="00355E38" w:rsidRPr="00355E38" w:rsidRDefault="00355E38" w:rsidP="00355E38">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355E38">
        <w:rPr>
          <w:rFonts w:ascii="Times New Roman" w:eastAsia="Times New Roman" w:hAnsi="Times New Roman" w:cs="Times New Roman"/>
          <w:color w:val="000000"/>
          <w:kern w:val="0"/>
          <w14:ligatures w14:val="none"/>
        </w:rPr>
        <w:t>an email promotion.</w:t>
      </w:r>
    </w:p>
    <w:p w14:paraId="22553F7C" w14:textId="77777777" w:rsidR="00355E38" w:rsidRPr="00355E38" w:rsidRDefault="00355E38" w:rsidP="00355E38">
      <w:pPr>
        <w:spacing w:before="100" w:beforeAutospacing="1" w:after="100" w:afterAutospacing="1" w:line="240" w:lineRule="auto"/>
        <w:rPr>
          <w:rFonts w:ascii="Times New Roman" w:eastAsia="Times New Roman" w:hAnsi="Times New Roman" w:cs="Times New Roman"/>
          <w:color w:val="000000"/>
          <w:kern w:val="0"/>
          <w14:ligatures w14:val="none"/>
        </w:rPr>
      </w:pPr>
      <w:r w:rsidRPr="00355E38">
        <w:rPr>
          <w:rFonts w:ascii="Times New Roman" w:eastAsia="Times New Roman" w:hAnsi="Times New Roman" w:cs="Times New Roman"/>
          <w:color w:val="000000"/>
          <w:kern w:val="0"/>
          <w14:ligatures w14:val="none"/>
        </w:rPr>
        <w:t>That initial encounter may be fleeting and impressionistic. The consumer may not scrutinise brand ownership or corporate identity, particularly where the branding appears familiar or consistent with an existing retailer’s reputation.</w:t>
      </w:r>
    </w:p>
    <w:p w14:paraId="3B71356A" w14:textId="77777777" w:rsidR="00355E38" w:rsidRPr="00355E38" w:rsidRDefault="00355E38" w:rsidP="00355E38">
      <w:pPr>
        <w:spacing w:before="100" w:beforeAutospacing="1" w:after="100" w:afterAutospacing="1" w:line="240" w:lineRule="auto"/>
        <w:rPr>
          <w:rFonts w:ascii="Times New Roman" w:eastAsia="Times New Roman" w:hAnsi="Times New Roman" w:cs="Times New Roman"/>
          <w:color w:val="000000"/>
          <w:kern w:val="0"/>
          <w14:ligatures w14:val="none"/>
        </w:rPr>
      </w:pPr>
      <w:r w:rsidRPr="00355E38">
        <w:rPr>
          <w:rFonts w:ascii="Times New Roman" w:eastAsia="Times New Roman" w:hAnsi="Times New Roman" w:cs="Times New Roman"/>
          <w:color w:val="000000"/>
          <w:kern w:val="0"/>
          <w14:ligatures w14:val="none"/>
        </w:rPr>
        <w:t>The High Court’s willingness to find misleading or deceptive conduct in these circumstances reflects a broader judicial acceptance that confusion does not require careful comparison or sustained attention. Rather, it may arise from an overall sense of familiarity or assumed association.</w:t>
      </w:r>
    </w:p>
    <w:p w14:paraId="021A40A8" w14:textId="70BF7C0B" w:rsidR="00355E38" w:rsidRPr="00355E38" w:rsidRDefault="00355E38" w:rsidP="00355E38">
      <w:pPr>
        <w:spacing w:before="100" w:beforeAutospacing="1" w:after="100" w:afterAutospacing="1" w:line="240" w:lineRule="auto"/>
        <w:rPr>
          <w:rFonts w:ascii="Times New Roman" w:eastAsia="Times New Roman" w:hAnsi="Times New Roman" w:cs="Times New Roman"/>
          <w:color w:val="000000"/>
          <w:kern w:val="0"/>
          <w14:ligatures w14:val="none"/>
        </w:rPr>
      </w:pPr>
      <w:r w:rsidRPr="00355E38">
        <w:rPr>
          <w:rFonts w:ascii="Times New Roman" w:eastAsia="Times New Roman" w:hAnsi="Times New Roman" w:cs="Times New Roman"/>
          <w:color w:val="000000"/>
          <w:kern w:val="0"/>
          <w14:ligatures w14:val="none"/>
        </w:rPr>
        <w:t xml:space="preserve">For online retailers, this has profound implications. The risk profile of branding decisions is shaped not just by what appears on a website homepage, but by how the brand surfaces across the digital ecosystem </w:t>
      </w:r>
      <w:r w:rsidRPr="00B22B2D">
        <w:rPr>
          <w:rFonts w:ascii="Times New Roman" w:eastAsia="Times New Roman" w:hAnsi="Times New Roman" w:cs="Times New Roman"/>
          <w:color w:val="000000"/>
          <w:kern w:val="0"/>
          <w14:ligatures w14:val="none"/>
        </w:rPr>
        <w:t>-</w:t>
      </w:r>
      <w:r w:rsidRPr="00355E38">
        <w:rPr>
          <w:rFonts w:ascii="Times New Roman" w:eastAsia="Times New Roman" w:hAnsi="Times New Roman" w:cs="Times New Roman"/>
          <w:color w:val="000000"/>
          <w:kern w:val="0"/>
          <w14:ligatures w14:val="none"/>
        </w:rPr>
        <w:t xml:space="preserve"> including search results, previews and snippets that the retailer may not fully control but does influence through design and marketing choices.</w:t>
      </w:r>
    </w:p>
    <w:p w14:paraId="442F1FFC" w14:textId="4B35D66A" w:rsidR="00355E38" w:rsidRPr="00355E38" w:rsidRDefault="00355E38" w:rsidP="00355E38">
      <w:pPr>
        <w:spacing w:before="100" w:beforeAutospacing="1" w:after="100" w:afterAutospacing="1" w:line="240" w:lineRule="auto"/>
        <w:outlineLvl w:val="2"/>
        <w:rPr>
          <w:rFonts w:ascii="Times New Roman" w:eastAsia="Times New Roman" w:hAnsi="Times New Roman" w:cs="Times New Roman"/>
          <w:b/>
          <w:bCs/>
          <w:color w:val="000000"/>
          <w:kern w:val="0"/>
          <w14:ligatures w14:val="none"/>
        </w:rPr>
      </w:pPr>
      <w:r w:rsidRPr="00355E38">
        <w:rPr>
          <w:rFonts w:ascii="Times New Roman" w:eastAsia="Times New Roman" w:hAnsi="Times New Roman" w:cs="Times New Roman"/>
          <w:b/>
          <w:bCs/>
          <w:color w:val="000000"/>
          <w:kern w:val="0"/>
          <w14:ligatures w14:val="none"/>
        </w:rPr>
        <w:t>Reputation and “wilful blindness” in the digital age</w:t>
      </w:r>
    </w:p>
    <w:p w14:paraId="5EEAD94D" w14:textId="77777777" w:rsidR="00355E38" w:rsidRPr="00355E38" w:rsidRDefault="00355E38" w:rsidP="00355E38">
      <w:pPr>
        <w:spacing w:before="100" w:beforeAutospacing="1" w:after="100" w:afterAutospacing="1" w:line="240" w:lineRule="auto"/>
        <w:rPr>
          <w:rFonts w:ascii="Times New Roman" w:eastAsia="Times New Roman" w:hAnsi="Times New Roman" w:cs="Times New Roman"/>
          <w:color w:val="000000"/>
          <w:kern w:val="0"/>
          <w14:ligatures w14:val="none"/>
        </w:rPr>
      </w:pPr>
      <w:r w:rsidRPr="00355E38">
        <w:rPr>
          <w:rFonts w:ascii="Times New Roman" w:eastAsia="Times New Roman" w:hAnsi="Times New Roman" w:cs="Times New Roman"/>
          <w:color w:val="000000"/>
          <w:kern w:val="0"/>
          <w14:ligatures w14:val="none"/>
        </w:rPr>
        <w:t>Another striking feature of the decision is the role played by reputation and the concept of “wilful blindness”. The Court was prepared to infer that GRB’s adoption of its branding occurred in circumstances where it ought to have appreciated the risk of confusion, given BBNT’s established reputation.</w:t>
      </w:r>
    </w:p>
    <w:p w14:paraId="729F4CE4" w14:textId="77777777" w:rsidR="00355E38" w:rsidRPr="00355E38" w:rsidRDefault="00355E38" w:rsidP="00355E38">
      <w:pPr>
        <w:spacing w:before="100" w:beforeAutospacing="1" w:after="100" w:afterAutospacing="1" w:line="240" w:lineRule="auto"/>
        <w:rPr>
          <w:rFonts w:ascii="Times New Roman" w:eastAsia="Times New Roman" w:hAnsi="Times New Roman" w:cs="Times New Roman"/>
          <w:color w:val="000000"/>
          <w:kern w:val="0"/>
          <w14:ligatures w14:val="none"/>
        </w:rPr>
      </w:pPr>
      <w:r w:rsidRPr="00355E38">
        <w:rPr>
          <w:rFonts w:ascii="Times New Roman" w:eastAsia="Times New Roman" w:hAnsi="Times New Roman" w:cs="Times New Roman"/>
          <w:color w:val="000000"/>
          <w:kern w:val="0"/>
          <w14:ligatures w14:val="none"/>
        </w:rPr>
        <w:t>In a digital context, this reasoning carries particular weight. Brand reputation is now highly visible and easily discoverable online. A retailer entering a market can readily assess:</w:t>
      </w:r>
    </w:p>
    <w:p w14:paraId="6455B293" w14:textId="77777777" w:rsidR="00355E38" w:rsidRPr="00355E38" w:rsidRDefault="00355E38" w:rsidP="00355E38">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355E38">
        <w:rPr>
          <w:rFonts w:ascii="Times New Roman" w:eastAsia="Times New Roman" w:hAnsi="Times New Roman" w:cs="Times New Roman"/>
          <w:color w:val="000000"/>
          <w:kern w:val="0"/>
          <w14:ligatures w14:val="none"/>
        </w:rPr>
        <w:t>search engine dominance of existing brands;</w:t>
      </w:r>
    </w:p>
    <w:p w14:paraId="46B092E2" w14:textId="77777777" w:rsidR="00355E38" w:rsidRPr="00355E38" w:rsidRDefault="00355E38" w:rsidP="00355E38">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355E38">
        <w:rPr>
          <w:rFonts w:ascii="Times New Roman" w:eastAsia="Times New Roman" w:hAnsi="Times New Roman" w:cs="Times New Roman"/>
          <w:color w:val="000000"/>
          <w:kern w:val="0"/>
          <w14:ligatures w14:val="none"/>
        </w:rPr>
        <w:t>online reviews and consumer recognition;</w:t>
      </w:r>
    </w:p>
    <w:p w14:paraId="7EFFCE00" w14:textId="77777777" w:rsidR="00355E38" w:rsidRPr="00355E38" w:rsidRDefault="00355E38" w:rsidP="00355E38">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355E38">
        <w:rPr>
          <w:rFonts w:ascii="Times New Roman" w:eastAsia="Times New Roman" w:hAnsi="Times New Roman" w:cs="Times New Roman"/>
          <w:color w:val="000000"/>
          <w:kern w:val="0"/>
          <w14:ligatures w14:val="none"/>
        </w:rPr>
        <w:t>social media presence and engagement; and</w:t>
      </w:r>
    </w:p>
    <w:p w14:paraId="368ED767" w14:textId="77777777" w:rsidR="00355E38" w:rsidRPr="00355E38" w:rsidRDefault="00355E38" w:rsidP="00355E38">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355E38">
        <w:rPr>
          <w:rFonts w:ascii="Times New Roman" w:eastAsia="Times New Roman" w:hAnsi="Times New Roman" w:cs="Times New Roman"/>
          <w:color w:val="000000"/>
          <w:kern w:val="0"/>
          <w14:ligatures w14:val="none"/>
        </w:rPr>
        <w:t>the digital footprint of competitors generally.</w:t>
      </w:r>
    </w:p>
    <w:p w14:paraId="20EA5892" w14:textId="77777777" w:rsidR="00355E38" w:rsidRPr="00355E38" w:rsidRDefault="00355E38" w:rsidP="00355E38">
      <w:pPr>
        <w:spacing w:before="100" w:beforeAutospacing="1" w:after="100" w:afterAutospacing="1" w:line="240" w:lineRule="auto"/>
        <w:rPr>
          <w:rFonts w:ascii="Times New Roman" w:eastAsia="Times New Roman" w:hAnsi="Times New Roman" w:cs="Times New Roman"/>
          <w:color w:val="000000"/>
          <w:kern w:val="0"/>
          <w14:ligatures w14:val="none"/>
        </w:rPr>
      </w:pPr>
      <w:r w:rsidRPr="00355E38">
        <w:rPr>
          <w:rFonts w:ascii="Times New Roman" w:eastAsia="Times New Roman" w:hAnsi="Times New Roman" w:cs="Times New Roman"/>
          <w:color w:val="000000"/>
          <w:kern w:val="0"/>
          <w14:ligatures w14:val="none"/>
        </w:rPr>
        <w:lastRenderedPageBreak/>
        <w:t>Against that backdrop, claims of ignorance or coincidence may be less persuasive. Where a business adopts branding that closely tracks a competitor’s established online and offline presentation, courts may be more willing to characterise that conduct as wilfully blind to the likelihood of confusion.</w:t>
      </w:r>
    </w:p>
    <w:p w14:paraId="7ACEB6C8" w14:textId="7D296067" w:rsidR="00355E38" w:rsidRPr="00B22B2D" w:rsidRDefault="00355E38" w:rsidP="00355E38">
      <w:pPr>
        <w:spacing w:before="100" w:beforeAutospacing="1" w:after="100" w:afterAutospacing="1" w:line="240" w:lineRule="auto"/>
        <w:rPr>
          <w:rFonts w:ascii="Times New Roman" w:eastAsia="Times New Roman" w:hAnsi="Times New Roman" w:cs="Times New Roman"/>
          <w:color w:val="000000"/>
          <w:kern w:val="0"/>
          <w14:ligatures w14:val="none"/>
        </w:rPr>
      </w:pPr>
      <w:r w:rsidRPr="00355E38">
        <w:rPr>
          <w:rFonts w:ascii="Times New Roman" w:eastAsia="Times New Roman" w:hAnsi="Times New Roman" w:cs="Times New Roman"/>
          <w:color w:val="000000"/>
          <w:kern w:val="0"/>
          <w14:ligatures w14:val="none"/>
        </w:rPr>
        <w:t>This is especially so where descriptive elements are involved. While descriptive branding is often attractive in search-driven markets, </w:t>
      </w:r>
      <w:r w:rsidRPr="00355E38">
        <w:rPr>
          <w:rFonts w:ascii="Times New Roman" w:eastAsia="Times New Roman" w:hAnsi="Times New Roman" w:cs="Times New Roman"/>
          <w:i/>
          <w:iCs/>
          <w:color w:val="000000"/>
          <w:kern w:val="0"/>
          <w14:ligatures w14:val="none"/>
        </w:rPr>
        <w:t>Bed Bath ’N’ Table</w:t>
      </w:r>
      <w:r w:rsidRPr="00355E38">
        <w:rPr>
          <w:rFonts w:ascii="Times New Roman" w:eastAsia="Times New Roman" w:hAnsi="Times New Roman" w:cs="Times New Roman"/>
          <w:color w:val="000000"/>
          <w:kern w:val="0"/>
          <w14:ligatures w14:val="none"/>
        </w:rPr>
        <w:t> demonstrates that descriptiveness does not immunise a trader from ACL liability. On the contrary, where descriptive terms are used in a way that capitalises on another trader’s reputation, the risk of misleading conduct may increase.</w:t>
      </w:r>
    </w:p>
    <w:p w14:paraId="689F5686" w14:textId="77777777" w:rsidR="00A13671" w:rsidRPr="00B22B2D" w:rsidRDefault="00A13671" w:rsidP="00A13671">
      <w:pPr>
        <w:pStyle w:val="NormalWeb"/>
        <w:rPr>
          <w:color w:val="000000"/>
        </w:rPr>
      </w:pPr>
      <w:r w:rsidRPr="00B22B2D">
        <w:rPr>
          <w:color w:val="000000"/>
        </w:rPr>
        <w:t>The third significant theme emerging from</w:t>
      </w:r>
      <w:r w:rsidRPr="00B22B2D">
        <w:rPr>
          <w:rStyle w:val="apple-converted-space"/>
          <w:rFonts w:eastAsiaTheme="majorEastAsia"/>
          <w:color w:val="000000"/>
        </w:rPr>
        <w:t> </w:t>
      </w:r>
      <w:r w:rsidRPr="00B22B2D">
        <w:rPr>
          <w:rStyle w:val="Emphasis"/>
          <w:rFonts w:eastAsiaTheme="majorEastAsia"/>
          <w:color w:val="000000"/>
        </w:rPr>
        <w:t>Bed Bath ’N’ Table</w:t>
      </w:r>
      <w:r w:rsidRPr="00B22B2D">
        <w:rPr>
          <w:rStyle w:val="apple-converted-space"/>
          <w:rFonts w:eastAsiaTheme="majorEastAsia"/>
          <w:color w:val="000000"/>
        </w:rPr>
        <w:t> </w:t>
      </w:r>
      <w:r w:rsidRPr="00B22B2D">
        <w:rPr>
          <w:color w:val="000000"/>
        </w:rPr>
        <w:t>is the role of brand reputation and the Court’s willingness to infer “wilful blindness” in circumstances where a trader adopts branding that closely resembles that of an established competitor. In a digital environment, this aspect of the reasoning has particular force.</w:t>
      </w:r>
    </w:p>
    <w:p w14:paraId="43C7331D" w14:textId="77777777" w:rsidR="00A13671" w:rsidRPr="00B22B2D" w:rsidRDefault="00A13671" w:rsidP="00A13671">
      <w:pPr>
        <w:pStyle w:val="NormalWeb"/>
        <w:rPr>
          <w:color w:val="000000"/>
        </w:rPr>
      </w:pPr>
      <w:r w:rsidRPr="00B22B2D">
        <w:rPr>
          <w:color w:val="000000"/>
        </w:rPr>
        <w:t>Reputation today is not confined to physical presence or traditional advertising. It is embedded in search rankings, online reviews, social media engagement and digital advertising visibility. As a result, a business entering a market is likely to encounter existing brands repeatedly during the process of digital planning and launch. This makes it more difficult to plausibly claim ignorance of a competitor’s prominence or identity.</w:t>
      </w:r>
    </w:p>
    <w:p w14:paraId="4C00B09B" w14:textId="77777777" w:rsidR="00A13671" w:rsidRPr="00B22B2D" w:rsidRDefault="00A13671" w:rsidP="00A13671">
      <w:pPr>
        <w:pStyle w:val="NormalWeb"/>
        <w:rPr>
          <w:color w:val="000000"/>
        </w:rPr>
      </w:pPr>
      <w:r w:rsidRPr="00B22B2D">
        <w:rPr>
          <w:color w:val="000000"/>
        </w:rPr>
        <w:t>The High Court’s reasoning suggests that where a business adopts branding that aligns closely with a well-known competitor’s digital and physical presentation, courts may infer that the risk of confusion was either known or deliberately disregarded. This is especially relevant where branding decisions appear calibrated to capture consumer attention in online spaces already dominated by the competitor.</w:t>
      </w:r>
    </w:p>
    <w:p w14:paraId="518418AD" w14:textId="77777777" w:rsidR="00A13671" w:rsidRPr="00B22B2D" w:rsidRDefault="00A13671" w:rsidP="00A13671">
      <w:pPr>
        <w:pStyle w:val="NormalWeb"/>
        <w:rPr>
          <w:color w:val="000000"/>
        </w:rPr>
      </w:pPr>
      <w:r w:rsidRPr="00B22B2D">
        <w:rPr>
          <w:color w:val="000000"/>
        </w:rPr>
        <w:t>In the digital context, “wilful blindness” may arise not only from copying, but from a failure to adequately interrogate the implications of branding choices that benefit from existing consumer recognition. For example, adopting similar descriptive terminology, visual cues or online positioning may be commercially attractive, but it may also suggest an intentional decision to trade close to an established reputation.</w:t>
      </w:r>
    </w:p>
    <w:p w14:paraId="7936862F" w14:textId="23940B8D" w:rsidR="00A13671" w:rsidRPr="00355E38" w:rsidRDefault="00A13671" w:rsidP="00A13671">
      <w:pPr>
        <w:pStyle w:val="NormalWeb"/>
        <w:rPr>
          <w:color w:val="000000"/>
        </w:rPr>
      </w:pPr>
      <w:r w:rsidRPr="00B22B2D">
        <w:rPr>
          <w:rStyle w:val="Emphasis"/>
          <w:rFonts w:eastAsiaTheme="majorEastAsia"/>
          <w:color w:val="000000"/>
        </w:rPr>
        <w:t>Bed Bath ’N’ Table</w:t>
      </w:r>
      <w:r w:rsidRPr="00B22B2D">
        <w:rPr>
          <w:rStyle w:val="apple-converted-space"/>
          <w:rFonts w:eastAsiaTheme="majorEastAsia"/>
          <w:color w:val="000000"/>
        </w:rPr>
        <w:t> </w:t>
      </w:r>
      <w:r w:rsidRPr="00B22B2D">
        <w:rPr>
          <w:color w:val="000000"/>
        </w:rPr>
        <w:t>indicates that reputation magnifies responsibility. The stronger and more visible a brand’s digital footprint, the greater the obligation on competitors to differentiate their online and offline presentation. Descriptive branding does not negate this obligation; rather, it increases the need for careful design choices that avoid conveying an unintended association.</w:t>
      </w:r>
    </w:p>
    <w:p w14:paraId="7092B13D" w14:textId="77777777" w:rsidR="00DB0F1B" w:rsidRDefault="00DB0F1B" w:rsidP="00355E38">
      <w:pPr>
        <w:spacing w:before="100" w:beforeAutospacing="1" w:after="100" w:afterAutospacing="1" w:line="240" w:lineRule="auto"/>
        <w:outlineLvl w:val="2"/>
        <w:rPr>
          <w:rFonts w:ascii="Times New Roman" w:eastAsia="Times New Roman" w:hAnsi="Times New Roman" w:cs="Times New Roman"/>
          <w:b/>
          <w:bCs/>
          <w:color w:val="000000"/>
          <w:kern w:val="0"/>
          <w14:ligatures w14:val="none"/>
        </w:rPr>
      </w:pPr>
    </w:p>
    <w:p w14:paraId="76C89773" w14:textId="77777777" w:rsidR="00DB0F1B" w:rsidRDefault="00DB0F1B" w:rsidP="00355E38">
      <w:pPr>
        <w:spacing w:before="100" w:beforeAutospacing="1" w:after="100" w:afterAutospacing="1" w:line="240" w:lineRule="auto"/>
        <w:outlineLvl w:val="2"/>
        <w:rPr>
          <w:rFonts w:ascii="Times New Roman" w:eastAsia="Times New Roman" w:hAnsi="Times New Roman" w:cs="Times New Roman"/>
          <w:b/>
          <w:bCs/>
          <w:color w:val="000000"/>
          <w:kern w:val="0"/>
          <w14:ligatures w14:val="none"/>
        </w:rPr>
      </w:pPr>
    </w:p>
    <w:p w14:paraId="50F9E142" w14:textId="46A6599C" w:rsidR="00355E38" w:rsidRPr="00355E38" w:rsidRDefault="00355E38" w:rsidP="00355E38">
      <w:pPr>
        <w:spacing w:before="100" w:beforeAutospacing="1" w:after="100" w:afterAutospacing="1" w:line="240" w:lineRule="auto"/>
        <w:outlineLvl w:val="2"/>
        <w:rPr>
          <w:rFonts w:ascii="Times New Roman" w:eastAsia="Times New Roman" w:hAnsi="Times New Roman" w:cs="Times New Roman"/>
          <w:b/>
          <w:bCs/>
          <w:color w:val="000000"/>
          <w:kern w:val="0"/>
          <w14:ligatures w14:val="none"/>
        </w:rPr>
      </w:pPr>
      <w:r w:rsidRPr="00355E38">
        <w:rPr>
          <w:rFonts w:ascii="Times New Roman" w:eastAsia="Times New Roman" w:hAnsi="Times New Roman" w:cs="Times New Roman"/>
          <w:b/>
          <w:bCs/>
          <w:color w:val="000000"/>
          <w:kern w:val="0"/>
          <w14:ligatures w14:val="none"/>
        </w:rPr>
        <w:lastRenderedPageBreak/>
        <w:t>Implications for retailers with integrated online and physical stores</w:t>
      </w:r>
    </w:p>
    <w:p w14:paraId="1D437905" w14:textId="77777777" w:rsidR="00355E38" w:rsidRPr="00355E38" w:rsidRDefault="00355E38" w:rsidP="00355E38">
      <w:pPr>
        <w:spacing w:before="100" w:beforeAutospacing="1" w:after="100" w:afterAutospacing="1" w:line="240" w:lineRule="auto"/>
        <w:rPr>
          <w:rFonts w:ascii="Times New Roman" w:eastAsia="Times New Roman" w:hAnsi="Times New Roman" w:cs="Times New Roman"/>
          <w:color w:val="000000"/>
          <w:kern w:val="0"/>
          <w14:ligatures w14:val="none"/>
        </w:rPr>
      </w:pPr>
      <w:r w:rsidRPr="00355E38">
        <w:rPr>
          <w:rFonts w:ascii="Times New Roman" w:eastAsia="Times New Roman" w:hAnsi="Times New Roman" w:cs="Times New Roman"/>
          <w:color w:val="000000"/>
          <w:kern w:val="0"/>
          <w14:ligatures w14:val="none"/>
        </w:rPr>
        <w:t>For retailers operating both physical and online storefronts, the decision reinforces the need for integrated brand risk assessment. It is no longer sufficient to clear a brand name through trade mark searches alone.</w:t>
      </w:r>
    </w:p>
    <w:p w14:paraId="408678B4" w14:textId="77777777" w:rsidR="00355E38" w:rsidRPr="00355E38" w:rsidRDefault="00355E38" w:rsidP="00355E38">
      <w:pPr>
        <w:spacing w:before="100" w:beforeAutospacing="1" w:after="100" w:afterAutospacing="1" w:line="240" w:lineRule="auto"/>
        <w:rPr>
          <w:rFonts w:ascii="Times New Roman" w:eastAsia="Times New Roman" w:hAnsi="Times New Roman" w:cs="Times New Roman"/>
          <w:color w:val="000000"/>
          <w:kern w:val="0"/>
          <w14:ligatures w14:val="none"/>
        </w:rPr>
      </w:pPr>
      <w:r w:rsidRPr="00355E38">
        <w:rPr>
          <w:rFonts w:ascii="Times New Roman" w:eastAsia="Times New Roman" w:hAnsi="Times New Roman" w:cs="Times New Roman"/>
          <w:color w:val="000000"/>
          <w:kern w:val="0"/>
          <w14:ligatures w14:val="none"/>
        </w:rPr>
        <w:t>Retailers should consider:</w:t>
      </w:r>
    </w:p>
    <w:p w14:paraId="01D15A9A" w14:textId="77777777" w:rsidR="00355E38" w:rsidRPr="00355E38" w:rsidRDefault="00355E38" w:rsidP="00355E38">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355E38">
        <w:rPr>
          <w:rFonts w:ascii="Times New Roman" w:eastAsia="Times New Roman" w:hAnsi="Times New Roman" w:cs="Times New Roman"/>
          <w:color w:val="000000"/>
          <w:kern w:val="0"/>
          <w14:ligatures w14:val="none"/>
        </w:rPr>
        <w:t>how their brand appears across all consumer touchpoints, not just in-store signage;</w:t>
      </w:r>
    </w:p>
    <w:p w14:paraId="578D64D1" w14:textId="77777777" w:rsidR="00355E38" w:rsidRPr="00355E38" w:rsidRDefault="00355E38" w:rsidP="00355E38">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355E38">
        <w:rPr>
          <w:rFonts w:ascii="Times New Roman" w:eastAsia="Times New Roman" w:hAnsi="Times New Roman" w:cs="Times New Roman"/>
          <w:color w:val="000000"/>
          <w:kern w:val="0"/>
          <w14:ligatures w14:val="none"/>
        </w:rPr>
        <w:t>whether their digital presentation evokes an existing competitor’s identity; and</w:t>
      </w:r>
    </w:p>
    <w:p w14:paraId="66617979" w14:textId="77777777" w:rsidR="00355E38" w:rsidRPr="00355E38" w:rsidRDefault="00355E38" w:rsidP="00355E38">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355E38">
        <w:rPr>
          <w:rFonts w:ascii="Times New Roman" w:eastAsia="Times New Roman" w:hAnsi="Times New Roman" w:cs="Times New Roman"/>
          <w:color w:val="000000"/>
          <w:kern w:val="0"/>
          <w14:ligatures w14:val="none"/>
        </w:rPr>
        <w:t>how consumers are likely to encounter and process their branding in practice.</w:t>
      </w:r>
    </w:p>
    <w:p w14:paraId="447DF5BE" w14:textId="77777777" w:rsidR="00355E38" w:rsidRPr="00355E38" w:rsidRDefault="00355E38" w:rsidP="00355E38">
      <w:pPr>
        <w:spacing w:before="100" w:beforeAutospacing="1" w:after="100" w:afterAutospacing="1" w:line="240" w:lineRule="auto"/>
        <w:rPr>
          <w:rFonts w:ascii="Times New Roman" w:eastAsia="Times New Roman" w:hAnsi="Times New Roman" w:cs="Times New Roman"/>
          <w:color w:val="000000"/>
          <w:kern w:val="0"/>
          <w14:ligatures w14:val="none"/>
        </w:rPr>
      </w:pPr>
      <w:r w:rsidRPr="00355E38">
        <w:rPr>
          <w:rFonts w:ascii="Times New Roman" w:eastAsia="Times New Roman" w:hAnsi="Times New Roman" w:cs="Times New Roman"/>
          <w:color w:val="000000"/>
          <w:kern w:val="0"/>
          <w14:ligatures w14:val="none"/>
        </w:rPr>
        <w:t>This may require closer collaboration between legal teams, marketing departments and digital designers. Decisions about website layout, navigation labels and online campaigns are not merely aesthetic or commercial; they may carry legal risk under the ACL.</w:t>
      </w:r>
    </w:p>
    <w:p w14:paraId="29D885D5" w14:textId="235F756D" w:rsidR="00355E38" w:rsidRPr="00355E38" w:rsidRDefault="00355E38" w:rsidP="00355E38">
      <w:pPr>
        <w:spacing w:before="100" w:beforeAutospacing="1" w:after="100" w:afterAutospacing="1" w:line="240" w:lineRule="auto"/>
        <w:rPr>
          <w:rFonts w:ascii="Times New Roman" w:eastAsia="Times New Roman" w:hAnsi="Times New Roman" w:cs="Times New Roman"/>
          <w:color w:val="000000"/>
          <w:kern w:val="0"/>
          <w14:ligatures w14:val="none"/>
        </w:rPr>
      </w:pPr>
      <w:r w:rsidRPr="00355E38">
        <w:rPr>
          <w:rFonts w:ascii="Times New Roman" w:eastAsia="Times New Roman" w:hAnsi="Times New Roman" w:cs="Times New Roman"/>
          <w:color w:val="000000"/>
          <w:kern w:val="0"/>
          <w14:ligatures w14:val="none"/>
        </w:rPr>
        <w:t>The decision also suggests that remedial steps taken after launch may not cure initial misleading impressions, particularly where confusion has already occurred or where the branding strategy reflects a broader pattern of conduct.</w:t>
      </w:r>
    </w:p>
    <w:p w14:paraId="7292FCF7" w14:textId="77777777" w:rsidR="00355E38" w:rsidRPr="00355E38" w:rsidRDefault="00355E38" w:rsidP="00355E38">
      <w:pPr>
        <w:spacing w:before="100" w:beforeAutospacing="1" w:after="100" w:afterAutospacing="1" w:line="240" w:lineRule="auto"/>
        <w:outlineLvl w:val="2"/>
        <w:rPr>
          <w:rFonts w:ascii="Times New Roman" w:eastAsia="Times New Roman" w:hAnsi="Times New Roman" w:cs="Times New Roman"/>
          <w:b/>
          <w:bCs/>
          <w:color w:val="000000"/>
          <w:kern w:val="0"/>
          <w14:ligatures w14:val="none"/>
        </w:rPr>
      </w:pPr>
      <w:r w:rsidRPr="00355E38">
        <w:rPr>
          <w:rFonts w:ascii="Times New Roman" w:eastAsia="Times New Roman" w:hAnsi="Times New Roman" w:cs="Times New Roman"/>
          <w:b/>
          <w:bCs/>
          <w:color w:val="000000"/>
          <w:kern w:val="0"/>
          <w14:ligatures w14:val="none"/>
        </w:rPr>
        <w:t>Designing online branding in crowded markets</w:t>
      </w:r>
    </w:p>
    <w:p w14:paraId="0BFF7F9A" w14:textId="77777777" w:rsidR="00355E38" w:rsidRPr="00355E38" w:rsidRDefault="00355E38" w:rsidP="00355E38">
      <w:pPr>
        <w:spacing w:before="100" w:beforeAutospacing="1" w:after="100" w:afterAutospacing="1" w:line="240" w:lineRule="auto"/>
        <w:rPr>
          <w:rFonts w:ascii="Times New Roman" w:eastAsia="Times New Roman" w:hAnsi="Times New Roman" w:cs="Times New Roman"/>
          <w:color w:val="000000"/>
          <w:kern w:val="0"/>
          <w14:ligatures w14:val="none"/>
        </w:rPr>
      </w:pPr>
      <w:r w:rsidRPr="00355E38">
        <w:rPr>
          <w:rFonts w:ascii="Times New Roman" w:eastAsia="Times New Roman" w:hAnsi="Times New Roman" w:cs="Times New Roman"/>
          <w:color w:val="000000"/>
          <w:kern w:val="0"/>
          <w14:ligatures w14:val="none"/>
        </w:rPr>
        <w:t>The risks identified in </w:t>
      </w:r>
      <w:r w:rsidRPr="00355E38">
        <w:rPr>
          <w:rFonts w:ascii="Times New Roman" w:eastAsia="Times New Roman" w:hAnsi="Times New Roman" w:cs="Times New Roman"/>
          <w:i/>
          <w:iCs/>
          <w:color w:val="000000"/>
          <w:kern w:val="0"/>
          <w14:ligatures w14:val="none"/>
        </w:rPr>
        <w:t>Bed Bath ’N’ Table</w:t>
      </w:r>
      <w:r w:rsidRPr="00355E38">
        <w:rPr>
          <w:rFonts w:ascii="Times New Roman" w:eastAsia="Times New Roman" w:hAnsi="Times New Roman" w:cs="Times New Roman"/>
          <w:color w:val="000000"/>
          <w:kern w:val="0"/>
          <w14:ligatures w14:val="none"/>
        </w:rPr>
        <w:t> are particularly acute in crowded or commoditised markets, where descriptive branding is common and differentiation is challenging.</w:t>
      </w:r>
    </w:p>
    <w:p w14:paraId="63CEF1C3" w14:textId="77777777" w:rsidR="00355E38" w:rsidRPr="00355E38" w:rsidRDefault="00355E38" w:rsidP="00355E38">
      <w:pPr>
        <w:spacing w:before="100" w:beforeAutospacing="1" w:after="100" w:afterAutospacing="1" w:line="240" w:lineRule="auto"/>
        <w:rPr>
          <w:rFonts w:ascii="Times New Roman" w:eastAsia="Times New Roman" w:hAnsi="Times New Roman" w:cs="Times New Roman"/>
          <w:color w:val="000000"/>
          <w:kern w:val="0"/>
          <w14:ligatures w14:val="none"/>
        </w:rPr>
      </w:pPr>
      <w:r w:rsidRPr="00355E38">
        <w:rPr>
          <w:rFonts w:ascii="Times New Roman" w:eastAsia="Times New Roman" w:hAnsi="Times New Roman" w:cs="Times New Roman"/>
          <w:color w:val="000000"/>
          <w:kern w:val="0"/>
          <w14:ligatures w14:val="none"/>
        </w:rPr>
        <w:t>In such environments, businesses may be tempted to adopt branding that sits close to category descriptors or to established market leaders. While this may be commercially attractive from a search optimisation perspective, it increases the likelihood of ACL scrutiny.</w:t>
      </w:r>
    </w:p>
    <w:p w14:paraId="151DB63C" w14:textId="77777777" w:rsidR="00355E38" w:rsidRPr="00355E38" w:rsidRDefault="00355E38" w:rsidP="00355E38">
      <w:pPr>
        <w:spacing w:before="100" w:beforeAutospacing="1" w:after="100" w:afterAutospacing="1" w:line="240" w:lineRule="auto"/>
        <w:rPr>
          <w:rFonts w:ascii="Times New Roman" w:eastAsia="Times New Roman" w:hAnsi="Times New Roman" w:cs="Times New Roman"/>
          <w:color w:val="000000"/>
          <w:kern w:val="0"/>
          <w14:ligatures w14:val="none"/>
        </w:rPr>
      </w:pPr>
      <w:r w:rsidRPr="00355E38">
        <w:rPr>
          <w:rFonts w:ascii="Times New Roman" w:eastAsia="Times New Roman" w:hAnsi="Times New Roman" w:cs="Times New Roman"/>
          <w:color w:val="000000"/>
          <w:kern w:val="0"/>
          <w14:ligatures w14:val="none"/>
        </w:rPr>
        <w:t>Design choices that warrant careful consideration include:</w:t>
      </w:r>
    </w:p>
    <w:p w14:paraId="2FE4E0F5" w14:textId="77777777" w:rsidR="00355E38" w:rsidRPr="00355E38" w:rsidRDefault="00355E38" w:rsidP="00355E38">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355E38">
        <w:rPr>
          <w:rFonts w:ascii="Times New Roman" w:eastAsia="Times New Roman" w:hAnsi="Times New Roman" w:cs="Times New Roman"/>
          <w:color w:val="000000"/>
          <w:kern w:val="0"/>
          <w14:ligatures w14:val="none"/>
        </w:rPr>
        <w:t>the prominence and repetition of descriptive terms in site headers and navigation;</w:t>
      </w:r>
    </w:p>
    <w:p w14:paraId="7A96E394" w14:textId="77777777" w:rsidR="00355E38" w:rsidRPr="00355E38" w:rsidRDefault="00355E38" w:rsidP="00355E38">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355E38">
        <w:rPr>
          <w:rFonts w:ascii="Times New Roman" w:eastAsia="Times New Roman" w:hAnsi="Times New Roman" w:cs="Times New Roman"/>
          <w:color w:val="000000"/>
          <w:kern w:val="0"/>
          <w14:ligatures w14:val="none"/>
        </w:rPr>
        <w:t>the use of similar colour palettes, fonts or layouts to competitors;</w:t>
      </w:r>
    </w:p>
    <w:p w14:paraId="09A59709" w14:textId="77777777" w:rsidR="00355E38" w:rsidRPr="00355E38" w:rsidRDefault="00355E38" w:rsidP="00355E38">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355E38">
        <w:rPr>
          <w:rFonts w:ascii="Times New Roman" w:eastAsia="Times New Roman" w:hAnsi="Times New Roman" w:cs="Times New Roman"/>
          <w:color w:val="000000"/>
          <w:kern w:val="0"/>
          <w14:ligatures w14:val="none"/>
        </w:rPr>
        <w:t>domain names that closely mirror established brands; and</w:t>
      </w:r>
    </w:p>
    <w:p w14:paraId="309FE7E5" w14:textId="77777777" w:rsidR="00355E38" w:rsidRPr="00355E38" w:rsidRDefault="00355E38" w:rsidP="00355E38">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355E38">
        <w:rPr>
          <w:rFonts w:ascii="Times New Roman" w:eastAsia="Times New Roman" w:hAnsi="Times New Roman" w:cs="Times New Roman"/>
          <w:color w:val="000000"/>
          <w:kern w:val="0"/>
          <w14:ligatures w14:val="none"/>
        </w:rPr>
        <w:t>metadata and page titles designed to capture competitor-related searches.</w:t>
      </w:r>
    </w:p>
    <w:p w14:paraId="108758A0" w14:textId="2FF8E20C" w:rsidR="00355E38" w:rsidRPr="00355E38" w:rsidRDefault="00355E38" w:rsidP="00355E38">
      <w:pPr>
        <w:spacing w:before="100" w:beforeAutospacing="1" w:after="100" w:afterAutospacing="1" w:line="240" w:lineRule="auto"/>
        <w:rPr>
          <w:rFonts w:ascii="Times New Roman" w:eastAsia="Times New Roman" w:hAnsi="Times New Roman" w:cs="Times New Roman"/>
          <w:color w:val="000000"/>
          <w:kern w:val="0"/>
          <w14:ligatures w14:val="none"/>
        </w:rPr>
      </w:pPr>
      <w:r w:rsidRPr="00355E38">
        <w:rPr>
          <w:rFonts w:ascii="Times New Roman" w:eastAsia="Times New Roman" w:hAnsi="Times New Roman" w:cs="Times New Roman"/>
          <w:color w:val="000000"/>
          <w:kern w:val="0"/>
          <w14:ligatures w14:val="none"/>
        </w:rPr>
        <w:t>Individually, these choices may appear innocuous. Collectively, they may create a misleading overall impression. </w:t>
      </w:r>
      <w:r w:rsidRPr="00355E38">
        <w:rPr>
          <w:rFonts w:ascii="Times New Roman" w:eastAsia="Times New Roman" w:hAnsi="Times New Roman" w:cs="Times New Roman"/>
          <w:i/>
          <w:iCs/>
          <w:color w:val="000000"/>
          <w:kern w:val="0"/>
          <w14:ligatures w14:val="none"/>
        </w:rPr>
        <w:t>Bed Bath ’N’ Table</w:t>
      </w:r>
      <w:r w:rsidRPr="00355E38">
        <w:rPr>
          <w:rFonts w:ascii="Times New Roman" w:eastAsia="Times New Roman" w:hAnsi="Times New Roman" w:cs="Times New Roman"/>
          <w:color w:val="000000"/>
          <w:kern w:val="0"/>
          <w14:ligatures w14:val="none"/>
        </w:rPr>
        <w:t> demonstrates that courts are willing to look at that cumulative effect.</w:t>
      </w:r>
    </w:p>
    <w:p w14:paraId="7625CA23" w14:textId="77777777" w:rsidR="00DB0F1B" w:rsidRDefault="00DB0F1B" w:rsidP="00355E38">
      <w:pPr>
        <w:spacing w:before="100" w:beforeAutospacing="1" w:after="100" w:afterAutospacing="1" w:line="240" w:lineRule="auto"/>
        <w:outlineLvl w:val="2"/>
        <w:rPr>
          <w:rFonts w:ascii="Times New Roman" w:eastAsia="Times New Roman" w:hAnsi="Times New Roman" w:cs="Times New Roman"/>
          <w:b/>
          <w:bCs/>
          <w:color w:val="000000"/>
          <w:kern w:val="0"/>
          <w14:ligatures w14:val="none"/>
        </w:rPr>
      </w:pPr>
    </w:p>
    <w:p w14:paraId="04485AC4" w14:textId="77777777" w:rsidR="00DB0F1B" w:rsidRDefault="00DB0F1B" w:rsidP="00355E38">
      <w:pPr>
        <w:spacing w:before="100" w:beforeAutospacing="1" w:after="100" w:afterAutospacing="1" w:line="240" w:lineRule="auto"/>
        <w:outlineLvl w:val="2"/>
        <w:rPr>
          <w:rFonts w:ascii="Times New Roman" w:eastAsia="Times New Roman" w:hAnsi="Times New Roman" w:cs="Times New Roman"/>
          <w:b/>
          <w:bCs/>
          <w:color w:val="000000"/>
          <w:kern w:val="0"/>
          <w14:ligatures w14:val="none"/>
        </w:rPr>
      </w:pPr>
    </w:p>
    <w:p w14:paraId="335F9ABD" w14:textId="22C896A7" w:rsidR="00355E38" w:rsidRPr="00355E38" w:rsidRDefault="00355E38" w:rsidP="00355E38">
      <w:pPr>
        <w:spacing w:before="100" w:beforeAutospacing="1" w:after="100" w:afterAutospacing="1" w:line="240" w:lineRule="auto"/>
        <w:outlineLvl w:val="2"/>
        <w:rPr>
          <w:rFonts w:ascii="Times New Roman" w:eastAsia="Times New Roman" w:hAnsi="Times New Roman" w:cs="Times New Roman"/>
          <w:b/>
          <w:bCs/>
          <w:color w:val="000000"/>
          <w:kern w:val="0"/>
          <w14:ligatures w14:val="none"/>
        </w:rPr>
      </w:pPr>
      <w:r w:rsidRPr="00355E38">
        <w:rPr>
          <w:rFonts w:ascii="Times New Roman" w:eastAsia="Times New Roman" w:hAnsi="Times New Roman" w:cs="Times New Roman"/>
          <w:b/>
          <w:bCs/>
          <w:color w:val="000000"/>
          <w:kern w:val="0"/>
          <w14:ligatures w14:val="none"/>
        </w:rPr>
        <w:lastRenderedPageBreak/>
        <w:t>Rethinking parallel trade mark and ACL claims</w:t>
      </w:r>
    </w:p>
    <w:p w14:paraId="75C014DE" w14:textId="47B350ED" w:rsidR="00355E38" w:rsidRPr="00355E38" w:rsidRDefault="00355E38" w:rsidP="00355E38">
      <w:pPr>
        <w:spacing w:before="100" w:beforeAutospacing="1" w:after="100" w:afterAutospacing="1" w:line="240" w:lineRule="auto"/>
        <w:rPr>
          <w:rFonts w:ascii="Times New Roman" w:eastAsia="Times New Roman" w:hAnsi="Times New Roman" w:cs="Times New Roman"/>
          <w:color w:val="000000"/>
          <w:kern w:val="0"/>
          <w14:ligatures w14:val="none"/>
        </w:rPr>
      </w:pPr>
      <w:r w:rsidRPr="00355E38">
        <w:rPr>
          <w:rFonts w:ascii="Times New Roman" w:eastAsia="Times New Roman" w:hAnsi="Times New Roman" w:cs="Times New Roman"/>
          <w:color w:val="000000"/>
          <w:kern w:val="0"/>
          <w14:ligatures w14:val="none"/>
        </w:rPr>
        <w:t xml:space="preserve">For practitioners, the decision reinforces the strategic importance of running parallel trade mark and ACL claims </w:t>
      </w:r>
      <w:r w:rsidRPr="00B22B2D">
        <w:rPr>
          <w:rFonts w:ascii="Times New Roman" w:eastAsia="Times New Roman" w:hAnsi="Times New Roman" w:cs="Times New Roman"/>
          <w:color w:val="000000"/>
          <w:kern w:val="0"/>
          <w14:ligatures w14:val="none"/>
        </w:rPr>
        <w:t xml:space="preserve">- </w:t>
      </w:r>
      <w:r w:rsidRPr="00355E38">
        <w:rPr>
          <w:rFonts w:ascii="Times New Roman" w:eastAsia="Times New Roman" w:hAnsi="Times New Roman" w:cs="Times New Roman"/>
          <w:color w:val="000000"/>
          <w:kern w:val="0"/>
          <w14:ligatures w14:val="none"/>
        </w:rPr>
        <w:t>and of recognising that success under one regime does not depend on success under the other.</w:t>
      </w:r>
    </w:p>
    <w:p w14:paraId="64ED86CA" w14:textId="77777777" w:rsidR="00355E38" w:rsidRPr="00355E38" w:rsidRDefault="00355E38" w:rsidP="00355E38">
      <w:pPr>
        <w:spacing w:before="100" w:beforeAutospacing="1" w:after="100" w:afterAutospacing="1" w:line="240" w:lineRule="auto"/>
        <w:rPr>
          <w:rFonts w:ascii="Times New Roman" w:eastAsia="Times New Roman" w:hAnsi="Times New Roman" w:cs="Times New Roman"/>
          <w:color w:val="000000"/>
          <w:kern w:val="0"/>
          <w14:ligatures w14:val="none"/>
        </w:rPr>
      </w:pPr>
      <w:r w:rsidRPr="00355E38">
        <w:rPr>
          <w:rFonts w:ascii="Times New Roman" w:eastAsia="Times New Roman" w:hAnsi="Times New Roman" w:cs="Times New Roman"/>
          <w:color w:val="000000"/>
          <w:kern w:val="0"/>
          <w14:ligatures w14:val="none"/>
        </w:rPr>
        <w:t>In disputes involving digital branding, the ACL may offer a more flexible and fact-sensitive avenue for relief, particularly where marks are descriptive or otherwise vulnerable under trade mark law.</w:t>
      </w:r>
    </w:p>
    <w:p w14:paraId="0758D877" w14:textId="77777777" w:rsidR="00355E38" w:rsidRPr="00355E38" w:rsidRDefault="00355E38" w:rsidP="00355E38">
      <w:pPr>
        <w:spacing w:before="100" w:beforeAutospacing="1" w:after="100" w:afterAutospacing="1" w:line="240" w:lineRule="auto"/>
        <w:rPr>
          <w:rFonts w:ascii="Times New Roman" w:eastAsia="Times New Roman" w:hAnsi="Times New Roman" w:cs="Times New Roman"/>
          <w:color w:val="000000"/>
          <w:kern w:val="0"/>
          <w14:ligatures w14:val="none"/>
        </w:rPr>
      </w:pPr>
      <w:r w:rsidRPr="00355E38">
        <w:rPr>
          <w:rFonts w:ascii="Times New Roman" w:eastAsia="Times New Roman" w:hAnsi="Times New Roman" w:cs="Times New Roman"/>
          <w:color w:val="000000"/>
          <w:kern w:val="0"/>
          <w14:ligatures w14:val="none"/>
        </w:rPr>
        <w:t>Practitioners should be alert to:</w:t>
      </w:r>
    </w:p>
    <w:p w14:paraId="767501FA" w14:textId="77777777" w:rsidR="00355E38" w:rsidRPr="00355E38" w:rsidRDefault="00355E38" w:rsidP="00355E38">
      <w:pPr>
        <w:numPr>
          <w:ilvl w:val="0"/>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355E38">
        <w:rPr>
          <w:rFonts w:ascii="Times New Roman" w:eastAsia="Times New Roman" w:hAnsi="Times New Roman" w:cs="Times New Roman"/>
          <w:color w:val="000000"/>
          <w:kern w:val="0"/>
          <w14:ligatures w14:val="none"/>
        </w:rPr>
        <w:t>evidence of consumer perception across digital channels;</w:t>
      </w:r>
    </w:p>
    <w:p w14:paraId="01D9CF3B" w14:textId="77777777" w:rsidR="00355E38" w:rsidRPr="00355E38" w:rsidRDefault="00355E38" w:rsidP="00355E38">
      <w:pPr>
        <w:numPr>
          <w:ilvl w:val="0"/>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355E38">
        <w:rPr>
          <w:rFonts w:ascii="Times New Roman" w:eastAsia="Times New Roman" w:hAnsi="Times New Roman" w:cs="Times New Roman"/>
          <w:color w:val="000000"/>
          <w:kern w:val="0"/>
          <w14:ligatures w14:val="none"/>
        </w:rPr>
        <w:t>the sequencing of consumer encounters with the brand;</w:t>
      </w:r>
    </w:p>
    <w:p w14:paraId="1BEFC435" w14:textId="77777777" w:rsidR="00355E38" w:rsidRPr="00355E38" w:rsidRDefault="00355E38" w:rsidP="00355E38">
      <w:pPr>
        <w:numPr>
          <w:ilvl w:val="0"/>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355E38">
        <w:rPr>
          <w:rFonts w:ascii="Times New Roman" w:eastAsia="Times New Roman" w:hAnsi="Times New Roman" w:cs="Times New Roman"/>
          <w:color w:val="000000"/>
          <w:kern w:val="0"/>
          <w14:ligatures w14:val="none"/>
        </w:rPr>
        <w:t>the extent of the applicant’s online reputation; and</w:t>
      </w:r>
    </w:p>
    <w:p w14:paraId="5846DA74" w14:textId="77777777" w:rsidR="00355E38" w:rsidRPr="00355E38" w:rsidRDefault="00355E38" w:rsidP="00355E38">
      <w:pPr>
        <w:numPr>
          <w:ilvl w:val="0"/>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355E38">
        <w:rPr>
          <w:rFonts w:ascii="Times New Roman" w:eastAsia="Times New Roman" w:hAnsi="Times New Roman" w:cs="Times New Roman"/>
          <w:color w:val="000000"/>
          <w:kern w:val="0"/>
          <w14:ligatures w14:val="none"/>
        </w:rPr>
        <w:t>internal documents or circumstances suggesting awareness of that reputation.</w:t>
      </w:r>
    </w:p>
    <w:p w14:paraId="39C1C27B" w14:textId="63142488" w:rsidR="00355E38" w:rsidRPr="00355E38" w:rsidRDefault="00355E38" w:rsidP="00355E38">
      <w:pPr>
        <w:spacing w:before="100" w:beforeAutospacing="1" w:after="100" w:afterAutospacing="1" w:line="240" w:lineRule="auto"/>
        <w:rPr>
          <w:rFonts w:ascii="Times New Roman" w:eastAsia="Times New Roman" w:hAnsi="Times New Roman" w:cs="Times New Roman"/>
          <w:color w:val="000000"/>
          <w:kern w:val="0"/>
          <w14:ligatures w14:val="none"/>
        </w:rPr>
      </w:pPr>
      <w:r w:rsidRPr="00355E38">
        <w:rPr>
          <w:rFonts w:ascii="Times New Roman" w:eastAsia="Times New Roman" w:hAnsi="Times New Roman" w:cs="Times New Roman"/>
          <w:color w:val="000000"/>
          <w:kern w:val="0"/>
          <w14:ligatures w14:val="none"/>
        </w:rPr>
        <w:t xml:space="preserve">The decision also underscores the value of evidence relating to online behaviour </w:t>
      </w:r>
      <w:r w:rsidRPr="00B22B2D">
        <w:rPr>
          <w:rFonts w:ascii="Times New Roman" w:eastAsia="Times New Roman" w:hAnsi="Times New Roman" w:cs="Times New Roman"/>
          <w:color w:val="000000"/>
          <w:kern w:val="0"/>
          <w14:ligatures w14:val="none"/>
        </w:rPr>
        <w:t xml:space="preserve">- </w:t>
      </w:r>
      <w:r w:rsidRPr="00355E38">
        <w:rPr>
          <w:rFonts w:ascii="Times New Roman" w:eastAsia="Times New Roman" w:hAnsi="Times New Roman" w:cs="Times New Roman"/>
          <w:color w:val="000000"/>
          <w:kern w:val="0"/>
          <w14:ligatures w14:val="none"/>
        </w:rPr>
        <w:t xml:space="preserve">including search results, website analytics and marketing strategies </w:t>
      </w:r>
      <w:r w:rsidRPr="00B22B2D">
        <w:rPr>
          <w:rFonts w:ascii="Times New Roman" w:eastAsia="Times New Roman" w:hAnsi="Times New Roman" w:cs="Times New Roman"/>
          <w:color w:val="000000"/>
          <w:kern w:val="0"/>
          <w14:ligatures w14:val="none"/>
        </w:rPr>
        <w:t>-</w:t>
      </w:r>
      <w:r w:rsidRPr="00355E38">
        <w:rPr>
          <w:rFonts w:ascii="Times New Roman" w:eastAsia="Times New Roman" w:hAnsi="Times New Roman" w:cs="Times New Roman"/>
          <w:color w:val="000000"/>
          <w:kern w:val="0"/>
          <w14:ligatures w14:val="none"/>
        </w:rPr>
        <w:t xml:space="preserve"> in establishing misleading conduct.</w:t>
      </w:r>
    </w:p>
    <w:p w14:paraId="594EC059" w14:textId="16CA5B3D" w:rsidR="00355E38" w:rsidRPr="00355E38" w:rsidRDefault="00355E38" w:rsidP="00355E38">
      <w:pPr>
        <w:spacing w:before="100" w:beforeAutospacing="1" w:after="100" w:afterAutospacing="1" w:line="240" w:lineRule="auto"/>
        <w:outlineLvl w:val="2"/>
        <w:rPr>
          <w:rFonts w:ascii="Times New Roman" w:eastAsia="Times New Roman" w:hAnsi="Times New Roman" w:cs="Times New Roman"/>
          <w:b/>
          <w:bCs/>
          <w:color w:val="000000"/>
          <w:kern w:val="0"/>
          <w14:ligatures w14:val="none"/>
        </w:rPr>
      </w:pPr>
      <w:r w:rsidRPr="00355E38">
        <w:rPr>
          <w:rFonts w:ascii="Times New Roman" w:eastAsia="Times New Roman" w:hAnsi="Times New Roman" w:cs="Times New Roman"/>
          <w:b/>
          <w:bCs/>
          <w:color w:val="000000"/>
          <w:kern w:val="0"/>
          <w14:ligatures w14:val="none"/>
        </w:rPr>
        <w:t>Conclusion</w:t>
      </w:r>
    </w:p>
    <w:p w14:paraId="3D36041A" w14:textId="77777777" w:rsidR="00355E38" w:rsidRPr="00355E38" w:rsidRDefault="00355E38" w:rsidP="00355E38">
      <w:pPr>
        <w:spacing w:before="100" w:beforeAutospacing="1" w:after="100" w:afterAutospacing="1" w:line="240" w:lineRule="auto"/>
        <w:rPr>
          <w:rFonts w:ascii="Times New Roman" w:eastAsia="Times New Roman" w:hAnsi="Times New Roman" w:cs="Times New Roman"/>
          <w:color w:val="000000"/>
          <w:kern w:val="0"/>
          <w14:ligatures w14:val="none"/>
        </w:rPr>
      </w:pPr>
      <w:r w:rsidRPr="00355E38">
        <w:rPr>
          <w:rFonts w:ascii="Times New Roman" w:eastAsia="Times New Roman" w:hAnsi="Times New Roman" w:cs="Times New Roman"/>
          <w:i/>
          <w:iCs/>
          <w:color w:val="000000"/>
          <w:kern w:val="0"/>
          <w14:ligatures w14:val="none"/>
        </w:rPr>
        <w:t>Bed Bath ’N’ Table v Global Retail Brands</w:t>
      </w:r>
      <w:r w:rsidRPr="00355E38">
        <w:rPr>
          <w:rFonts w:ascii="Times New Roman" w:eastAsia="Times New Roman" w:hAnsi="Times New Roman" w:cs="Times New Roman"/>
          <w:color w:val="000000"/>
          <w:kern w:val="0"/>
          <w14:ligatures w14:val="none"/>
        </w:rPr>
        <w:t> is a reminder that brand protection law does not operate in silos. In a digital marketplace, where consumer impressions are formed across multiple platforms and moments, the ACL plays a critical role in policing conduct that trade mark law alone may not capture.</w:t>
      </w:r>
    </w:p>
    <w:p w14:paraId="5C483741" w14:textId="77777777" w:rsidR="00355E38" w:rsidRPr="00355E38" w:rsidRDefault="00355E38" w:rsidP="00355E38">
      <w:pPr>
        <w:spacing w:before="100" w:beforeAutospacing="1" w:after="100" w:afterAutospacing="1" w:line="240" w:lineRule="auto"/>
        <w:rPr>
          <w:rFonts w:ascii="Times New Roman" w:eastAsia="Times New Roman" w:hAnsi="Times New Roman" w:cs="Times New Roman"/>
          <w:color w:val="000000"/>
          <w:kern w:val="0"/>
          <w14:ligatures w14:val="none"/>
        </w:rPr>
      </w:pPr>
      <w:r w:rsidRPr="00355E38">
        <w:rPr>
          <w:rFonts w:ascii="Times New Roman" w:eastAsia="Times New Roman" w:hAnsi="Times New Roman" w:cs="Times New Roman"/>
          <w:color w:val="000000"/>
          <w:kern w:val="0"/>
          <w14:ligatures w14:val="none"/>
        </w:rPr>
        <w:t>The High Court’s emphasis on overall impression, reputation and wilful blindness reflects a realistic understanding of how consumers engage with brands today. For retailers, it highlights the need for careful, holistic brand design across online and offline environments. For practitioners, it reinforces the importance of framing disputes in a way that captures the full texture of modern consumer interaction.</w:t>
      </w:r>
    </w:p>
    <w:p w14:paraId="4B6DBB4D" w14:textId="69807B3A" w:rsidR="00355E38" w:rsidRPr="002B2C54" w:rsidRDefault="00355E38" w:rsidP="002B2C54">
      <w:pPr>
        <w:spacing w:before="100" w:beforeAutospacing="1" w:after="100" w:afterAutospacing="1" w:line="240" w:lineRule="auto"/>
        <w:rPr>
          <w:rFonts w:ascii="Times New Roman" w:eastAsia="Times New Roman" w:hAnsi="Times New Roman" w:cs="Times New Roman"/>
          <w:color w:val="000000"/>
          <w:kern w:val="0"/>
          <w14:ligatures w14:val="none"/>
        </w:rPr>
      </w:pPr>
      <w:r w:rsidRPr="00355E38">
        <w:rPr>
          <w:rFonts w:ascii="Times New Roman" w:eastAsia="Times New Roman" w:hAnsi="Times New Roman" w:cs="Times New Roman"/>
          <w:color w:val="000000"/>
          <w:kern w:val="0"/>
          <w14:ligatures w14:val="none"/>
        </w:rPr>
        <w:t>As commerce continues to migrate online, the lessons of </w:t>
      </w:r>
      <w:r w:rsidRPr="00355E38">
        <w:rPr>
          <w:rFonts w:ascii="Times New Roman" w:eastAsia="Times New Roman" w:hAnsi="Times New Roman" w:cs="Times New Roman"/>
          <w:i/>
          <w:iCs/>
          <w:color w:val="000000"/>
          <w:kern w:val="0"/>
          <w14:ligatures w14:val="none"/>
        </w:rPr>
        <w:t>Bed Bath ’N’ Table</w:t>
      </w:r>
      <w:r w:rsidRPr="00355E38">
        <w:rPr>
          <w:rFonts w:ascii="Times New Roman" w:eastAsia="Times New Roman" w:hAnsi="Times New Roman" w:cs="Times New Roman"/>
          <w:color w:val="000000"/>
          <w:kern w:val="0"/>
          <w14:ligatures w14:val="none"/>
        </w:rPr>
        <w:t> are likely to resonate well beyond the homewares sector, shaping how courts assess digital branding and consumer confusion in the years ahead.</w:t>
      </w:r>
      <w:r w:rsidR="00B22B2D" w:rsidRPr="00B22B2D">
        <w:rPr>
          <w:rFonts w:ascii="Times New Roman" w:eastAsia="Times New Roman" w:hAnsi="Times New Roman" w:cs="Times New Roman"/>
          <w:color w:val="000000"/>
          <w:kern w:val="0"/>
          <w14:ligatures w14:val="none"/>
        </w:rPr>
        <w:t xml:space="preserve"> </w:t>
      </w:r>
    </w:p>
    <w:sectPr w:rsidR="00355E38" w:rsidRPr="002B2C54">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6B1C5" w14:textId="77777777" w:rsidR="00E50185" w:rsidRDefault="00E50185" w:rsidP="00355E38">
      <w:pPr>
        <w:spacing w:after="0" w:line="240" w:lineRule="auto"/>
      </w:pPr>
      <w:r>
        <w:separator/>
      </w:r>
    </w:p>
  </w:endnote>
  <w:endnote w:type="continuationSeparator" w:id="0">
    <w:p w14:paraId="306811F5" w14:textId="77777777" w:rsidR="00E50185" w:rsidRDefault="00E50185" w:rsidP="00355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64926817"/>
      <w:docPartObj>
        <w:docPartGallery w:val="Page Numbers (Bottom of Page)"/>
        <w:docPartUnique/>
      </w:docPartObj>
    </w:sdtPr>
    <w:sdtContent>
      <w:p w14:paraId="08E59286" w14:textId="3AC3798F" w:rsidR="00355E38" w:rsidRDefault="00355E38" w:rsidP="006944F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B723EF2" w14:textId="77777777" w:rsidR="00355E38" w:rsidRDefault="00355E38" w:rsidP="00355E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15602641"/>
      <w:docPartObj>
        <w:docPartGallery w:val="Page Numbers (Bottom of Page)"/>
        <w:docPartUnique/>
      </w:docPartObj>
    </w:sdtPr>
    <w:sdtEndPr>
      <w:rPr>
        <w:rStyle w:val="PageNumber"/>
        <w:rFonts w:ascii="Times New Roman" w:hAnsi="Times New Roman" w:cs="Times New Roman"/>
      </w:rPr>
    </w:sdtEndPr>
    <w:sdtContent>
      <w:p w14:paraId="3A0038D1" w14:textId="129DE61A" w:rsidR="00355E38" w:rsidRPr="00B22B2D" w:rsidRDefault="00355E38" w:rsidP="006944F7">
        <w:pPr>
          <w:pStyle w:val="Footer"/>
          <w:framePr w:wrap="none" w:vAnchor="text" w:hAnchor="margin" w:xAlign="right" w:y="1"/>
          <w:rPr>
            <w:rStyle w:val="PageNumber"/>
            <w:rFonts w:ascii="Times New Roman" w:hAnsi="Times New Roman" w:cs="Times New Roman"/>
          </w:rPr>
        </w:pPr>
        <w:r w:rsidRPr="00B22B2D">
          <w:rPr>
            <w:rStyle w:val="PageNumber"/>
            <w:rFonts w:ascii="Times New Roman" w:hAnsi="Times New Roman" w:cs="Times New Roman"/>
          </w:rPr>
          <w:fldChar w:fldCharType="begin"/>
        </w:r>
        <w:r w:rsidRPr="00B22B2D">
          <w:rPr>
            <w:rStyle w:val="PageNumber"/>
            <w:rFonts w:ascii="Times New Roman" w:hAnsi="Times New Roman" w:cs="Times New Roman"/>
          </w:rPr>
          <w:instrText xml:space="preserve"> PAGE </w:instrText>
        </w:r>
        <w:r w:rsidRPr="00B22B2D">
          <w:rPr>
            <w:rStyle w:val="PageNumber"/>
            <w:rFonts w:ascii="Times New Roman" w:hAnsi="Times New Roman" w:cs="Times New Roman"/>
          </w:rPr>
          <w:fldChar w:fldCharType="separate"/>
        </w:r>
        <w:r w:rsidRPr="00B22B2D">
          <w:rPr>
            <w:rStyle w:val="PageNumber"/>
            <w:rFonts w:ascii="Times New Roman" w:hAnsi="Times New Roman" w:cs="Times New Roman"/>
            <w:noProof/>
          </w:rPr>
          <w:t>6</w:t>
        </w:r>
        <w:r w:rsidRPr="00B22B2D">
          <w:rPr>
            <w:rStyle w:val="PageNumber"/>
            <w:rFonts w:ascii="Times New Roman" w:hAnsi="Times New Roman" w:cs="Times New Roman"/>
          </w:rPr>
          <w:fldChar w:fldCharType="end"/>
        </w:r>
      </w:p>
    </w:sdtContent>
  </w:sdt>
  <w:p w14:paraId="72A6ABB1" w14:textId="77777777" w:rsidR="00DB0F1B" w:rsidRDefault="00DB0F1B" w:rsidP="002B2C54">
    <w:pPr>
      <w:spacing w:before="100" w:beforeAutospacing="1" w:after="100" w:afterAutospacing="1" w:line="240" w:lineRule="auto"/>
      <w:rPr>
        <w:rFonts w:ascii="Times New Roman" w:eastAsia="Times New Roman" w:hAnsi="Times New Roman" w:cs="Times New Roman"/>
        <w:b/>
        <w:bCs/>
        <w:color w:val="000000"/>
        <w:kern w:val="0"/>
        <w14:ligatures w14:val="none"/>
      </w:rPr>
    </w:pPr>
  </w:p>
  <w:p w14:paraId="38C65FF4" w14:textId="2BFBB6F5" w:rsidR="002B2C54" w:rsidRPr="002B2C54" w:rsidRDefault="002B2C54" w:rsidP="002B2C54">
    <w:pPr>
      <w:spacing w:before="100" w:beforeAutospacing="1" w:after="100" w:afterAutospacing="1" w:line="240" w:lineRule="auto"/>
      <w:rPr>
        <w:rFonts w:ascii="Times New Roman" w:eastAsia="Times New Roman" w:hAnsi="Times New Roman" w:cs="Times New Roman"/>
        <w:b/>
        <w:bCs/>
        <w:color w:val="000000"/>
        <w:kern w:val="0"/>
        <w14:ligatures w14:val="none"/>
      </w:rPr>
    </w:pPr>
    <w:r w:rsidRPr="002B2C54">
      <w:rPr>
        <w:rFonts w:ascii="Times New Roman" w:eastAsia="Times New Roman" w:hAnsi="Times New Roman" w:cs="Times New Roman"/>
        <w:b/>
        <w:bCs/>
        <w:color w:val="000000"/>
        <w:kern w:val="0"/>
        <w14:ligatures w14:val="none"/>
      </w:rPr>
      <w:t>Written by: Sophie Bennett</w:t>
    </w:r>
    <w:r w:rsidR="00DB0F1B">
      <w:rPr>
        <w:rFonts w:ascii="Times New Roman" w:eastAsia="Times New Roman" w:hAnsi="Times New Roman" w:cs="Times New Roman"/>
        <w:b/>
        <w:bCs/>
        <w:color w:val="000000"/>
        <w:kern w:val="0"/>
        <w14:ligatures w14:val="none"/>
      </w:rPr>
      <w:t xml:space="preserve"> - Paralegal at Sharon Givoni Lawyers </w:t>
    </w:r>
  </w:p>
  <w:p w14:paraId="69F01270" w14:textId="77777777" w:rsidR="00355E38" w:rsidRPr="00B22B2D" w:rsidRDefault="00355E38" w:rsidP="00355E38">
    <w:pPr>
      <w:pStyle w:val="Footer"/>
      <w:ind w:right="360"/>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2FCC3" w14:textId="77777777" w:rsidR="00E50185" w:rsidRDefault="00E50185" w:rsidP="00355E38">
      <w:pPr>
        <w:spacing w:after="0" w:line="240" w:lineRule="auto"/>
      </w:pPr>
      <w:r>
        <w:separator/>
      </w:r>
    </w:p>
  </w:footnote>
  <w:footnote w:type="continuationSeparator" w:id="0">
    <w:p w14:paraId="3DE2C77A" w14:textId="77777777" w:rsidR="00E50185" w:rsidRDefault="00E50185" w:rsidP="00355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933"/>
    <w:multiLevelType w:val="multilevel"/>
    <w:tmpl w:val="8D9C0DC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21B25711"/>
    <w:multiLevelType w:val="multilevel"/>
    <w:tmpl w:val="D4D221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C77C04"/>
    <w:multiLevelType w:val="multilevel"/>
    <w:tmpl w:val="ED3EE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4530114"/>
    <w:multiLevelType w:val="multilevel"/>
    <w:tmpl w:val="09EC19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8F62E8"/>
    <w:multiLevelType w:val="multilevel"/>
    <w:tmpl w:val="712C0F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D15401"/>
    <w:multiLevelType w:val="multilevel"/>
    <w:tmpl w:val="CD20E1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22588E"/>
    <w:multiLevelType w:val="multilevel"/>
    <w:tmpl w:val="01383E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F71E4D"/>
    <w:multiLevelType w:val="multilevel"/>
    <w:tmpl w:val="2A542F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B751C9"/>
    <w:multiLevelType w:val="multilevel"/>
    <w:tmpl w:val="9AB6E7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2F63AB"/>
    <w:multiLevelType w:val="multilevel"/>
    <w:tmpl w:val="E3E8B7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224536997">
    <w:abstractNumId w:val="0"/>
  </w:num>
  <w:num w:numId="2" w16cid:durableId="590895992">
    <w:abstractNumId w:val="6"/>
  </w:num>
  <w:num w:numId="3" w16cid:durableId="1491409402">
    <w:abstractNumId w:val="5"/>
  </w:num>
  <w:num w:numId="4" w16cid:durableId="2006591952">
    <w:abstractNumId w:val="3"/>
  </w:num>
  <w:num w:numId="5" w16cid:durableId="1541475512">
    <w:abstractNumId w:val="4"/>
  </w:num>
  <w:num w:numId="6" w16cid:durableId="2045130171">
    <w:abstractNumId w:val="1"/>
  </w:num>
  <w:num w:numId="7" w16cid:durableId="20127071">
    <w:abstractNumId w:val="9"/>
  </w:num>
  <w:num w:numId="8" w16cid:durableId="340350564">
    <w:abstractNumId w:val="7"/>
  </w:num>
  <w:num w:numId="9" w16cid:durableId="304092820">
    <w:abstractNumId w:val="8"/>
  </w:num>
  <w:num w:numId="10" w16cid:durableId="14202510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E38"/>
    <w:rsid w:val="00194CEC"/>
    <w:rsid w:val="002B2C54"/>
    <w:rsid w:val="00355E38"/>
    <w:rsid w:val="003602F7"/>
    <w:rsid w:val="00633427"/>
    <w:rsid w:val="00A13671"/>
    <w:rsid w:val="00B22B2D"/>
    <w:rsid w:val="00BB55CE"/>
    <w:rsid w:val="00BC220F"/>
    <w:rsid w:val="00DB0F1B"/>
    <w:rsid w:val="00E50185"/>
    <w:rsid w:val="00F12E9C"/>
    <w:rsid w:val="00F47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B32CF"/>
  <w15:chartTrackingRefBased/>
  <w15:docId w15:val="{A3E35689-D3F5-524E-9646-D6E0A47CE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5E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55E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55E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5E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5E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5E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5E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5E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5E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E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55E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55E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5E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5E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5E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5E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5E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5E38"/>
    <w:rPr>
      <w:rFonts w:eastAsiaTheme="majorEastAsia" w:cstheme="majorBidi"/>
      <w:color w:val="272727" w:themeColor="text1" w:themeTint="D8"/>
    </w:rPr>
  </w:style>
  <w:style w:type="paragraph" w:styleId="Title">
    <w:name w:val="Title"/>
    <w:basedOn w:val="Normal"/>
    <w:next w:val="Normal"/>
    <w:link w:val="TitleChar"/>
    <w:uiPriority w:val="10"/>
    <w:qFormat/>
    <w:rsid w:val="00355E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5E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5E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5E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5E38"/>
    <w:pPr>
      <w:spacing w:before="160"/>
      <w:jc w:val="center"/>
    </w:pPr>
    <w:rPr>
      <w:i/>
      <w:iCs/>
      <w:color w:val="404040" w:themeColor="text1" w:themeTint="BF"/>
    </w:rPr>
  </w:style>
  <w:style w:type="character" w:customStyle="1" w:styleId="QuoteChar">
    <w:name w:val="Quote Char"/>
    <w:basedOn w:val="DefaultParagraphFont"/>
    <w:link w:val="Quote"/>
    <w:uiPriority w:val="29"/>
    <w:rsid w:val="00355E38"/>
    <w:rPr>
      <w:i/>
      <w:iCs/>
      <w:color w:val="404040" w:themeColor="text1" w:themeTint="BF"/>
    </w:rPr>
  </w:style>
  <w:style w:type="paragraph" w:styleId="ListParagraph">
    <w:name w:val="List Paragraph"/>
    <w:basedOn w:val="Normal"/>
    <w:uiPriority w:val="34"/>
    <w:qFormat/>
    <w:rsid w:val="00355E38"/>
    <w:pPr>
      <w:ind w:left="720"/>
      <w:contextualSpacing/>
    </w:pPr>
  </w:style>
  <w:style w:type="character" w:styleId="IntenseEmphasis">
    <w:name w:val="Intense Emphasis"/>
    <w:basedOn w:val="DefaultParagraphFont"/>
    <w:uiPriority w:val="21"/>
    <w:qFormat/>
    <w:rsid w:val="00355E38"/>
    <w:rPr>
      <w:i/>
      <w:iCs/>
      <w:color w:val="0F4761" w:themeColor="accent1" w:themeShade="BF"/>
    </w:rPr>
  </w:style>
  <w:style w:type="paragraph" w:styleId="IntenseQuote">
    <w:name w:val="Intense Quote"/>
    <w:basedOn w:val="Normal"/>
    <w:next w:val="Normal"/>
    <w:link w:val="IntenseQuoteChar"/>
    <w:uiPriority w:val="30"/>
    <w:qFormat/>
    <w:rsid w:val="00355E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5E38"/>
    <w:rPr>
      <w:i/>
      <w:iCs/>
      <w:color w:val="0F4761" w:themeColor="accent1" w:themeShade="BF"/>
    </w:rPr>
  </w:style>
  <w:style w:type="character" w:styleId="IntenseReference">
    <w:name w:val="Intense Reference"/>
    <w:basedOn w:val="DefaultParagraphFont"/>
    <w:uiPriority w:val="32"/>
    <w:qFormat/>
    <w:rsid w:val="00355E38"/>
    <w:rPr>
      <w:b/>
      <w:bCs/>
      <w:smallCaps/>
      <w:color w:val="0F4761" w:themeColor="accent1" w:themeShade="BF"/>
      <w:spacing w:val="5"/>
    </w:rPr>
  </w:style>
  <w:style w:type="character" w:customStyle="1" w:styleId="apple-converted-space">
    <w:name w:val="apple-converted-space"/>
    <w:basedOn w:val="DefaultParagraphFont"/>
    <w:rsid w:val="00355E38"/>
  </w:style>
  <w:style w:type="character" w:styleId="Emphasis">
    <w:name w:val="Emphasis"/>
    <w:basedOn w:val="DefaultParagraphFont"/>
    <w:uiPriority w:val="20"/>
    <w:qFormat/>
    <w:rsid w:val="00355E38"/>
    <w:rPr>
      <w:i/>
      <w:iCs/>
    </w:rPr>
  </w:style>
  <w:style w:type="paragraph" w:styleId="NormalWeb">
    <w:name w:val="Normal (Web)"/>
    <w:basedOn w:val="Normal"/>
    <w:uiPriority w:val="99"/>
    <w:unhideWhenUsed/>
    <w:rsid w:val="00355E38"/>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355E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5E38"/>
  </w:style>
  <w:style w:type="character" w:styleId="PageNumber">
    <w:name w:val="page number"/>
    <w:basedOn w:val="DefaultParagraphFont"/>
    <w:uiPriority w:val="99"/>
    <w:semiHidden/>
    <w:unhideWhenUsed/>
    <w:rsid w:val="00355E38"/>
  </w:style>
  <w:style w:type="paragraph" w:styleId="Header">
    <w:name w:val="header"/>
    <w:basedOn w:val="Normal"/>
    <w:link w:val="HeaderChar"/>
    <w:uiPriority w:val="99"/>
    <w:unhideWhenUsed/>
    <w:rsid w:val="00B22B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3189</Words>
  <Characters>18182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Bennett</dc:creator>
  <cp:keywords/>
  <dc:description/>
  <cp:lastModifiedBy>Sophie Bennett</cp:lastModifiedBy>
  <cp:revision>2</cp:revision>
  <dcterms:created xsi:type="dcterms:W3CDTF">2026-03-24T03:28:00Z</dcterms:created>
  <dcterms:modified xsi:type="dcterms:W3CDTF">2026-03-24T03:28:00Z</dcterms:modified>
</cp:coreProperties>
</file>